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5E719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18E024C9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33C663AC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2C26FA92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0993CF62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19A9998B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3CD4D95B" w14:textId="18A0F8F6" w:rsidR="00DF4E9E" w:rsidRPr="008A679A" w:rsidRDefault="008A679A" w:rsidP="008A679A">
      <w:pPr>
        <w:jc w:val="center"/>
        <w:rPr>
          <w:sz w:val="36"/>
          <w:szCs w:val="36"/>
        </w:rPr>
      </w:pPr>
      <w:r w:rsidRPr="008A679A">
        <w:rPr>
          <w:sz w:val="36"/>
          <w:szCs w:val="36"/>
        </w:rPr>
        <w:t xml:space="preserve">「빈집 </w:t>
      </w:r>
      <w:r w:rsidRPr="008A679A">
        <w:rPr>
          <w:rFonts w:hint="eastAsia"/>
          <w:sz w:val="36"/>
          <w:szCs w:val="36"/>
        </w:rPr>
        <w:t xml:space="preserve">선행연구 조사 </w:t>
      </w:r>
      <w:r w:rsidRPr="008A679A">
        <w:rPr>
          <w:sz w:val="36"/>
          <w:szCs w:val="36"/>
        </w:rPr>
        <w:t>보고서」</w:t>
      </w:r>
    </w:p>
    <w:p w14:paraId="68E4784E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29A750AC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1DED7639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763DDE53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5E074319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781D195C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5AB18927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3A3CC651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7811DEBB" w14:textId="77777777" w:rsidR="008A679A" w:rsidRPr="008A679A" w:rsidRDefault="008A679A" w:rsidP="008A679A">
      <w:pPr>
        <w:jc w:val="center"/>
        <w:rPr>
          <w:sz w:val="36"/>
          <w:szCs w:val="36"/>
        </w:rPr>
      </w:pPr>
    </w:p>
    <w:p w14:paraId="252FD60D" w14:textId="4332B1B0" w:rsidR="008A679A" w:rsidRPr="008A679A" w:rsidRDefault="008A679A" w:rsidP="008A679A">
      <w:pPr>
        <w:jc w:val="right"/>
        <w:rPr>
          <w:szCs w:val="22"/>
        </w:rPr>
      </w:pPr>
      <w:r w:rsidRPr="008A679A">
        <w:rPr>
          <w:rFonts w:hint="eastAsia"/>
          <w:szCs w:val="22"/>
        </w:rPr>
        <w:t>작성자 : 엄규현</w:t>
      </w:r>
    </w:p>
    <w:p w14:paraId="0FB2797E" w14:textId="77777777" w:rsidR="008A679A" w:rsidRPr="008A679A" w:rsidRDefault="008A679A" w:rsidP="008A679A">
      <w:pPr>
        <w:jc w:val="right"/>
        <w:rPr>
          <w:szCs w:val="22"/>
        </w:rPr>
      </w:pPr>
    </w:p>
    <w:p w14:paraId="7C83B0F5" w14:textId="77777777" w:rsidR="007514D2" w:rsidRDefault="007514D2" w:rsidP="008A679A">
      <w:pPr>
        <w:rPr>
          <w:b/>
          <w:bCs/>
          <w:szCs w:val="22"/>
        </w:rPr>
      </w:pPr>
    </w:p>
    <w:p w14:paraId="101D5592" w14:textId="63061C97" w:rsidR="008A679A" w:rsidRDefault="008A679A" w:rsidP="008A679A">
      <w:pPr>
        <w:rPr>
          <w:b/>
          <w:bCs/>
          <w:szCs w:val="22"/>
        </w:rPr>
      </w:pPr>
      <w:bookmarkStart w:id="0" w:name="_Hlk210738483"/>
      <w:r w:rsidRPr="007514D2">
        <w:rPr>
          <w:rFonts w:hint="eastAsia"/>
          <w:b/>
          <w:bCs/>
          <w:szCs w:val="22"/>
        </w:rPr>
        <w:t>목차</w:t>
      </w:r>
    </w:p>
    <w:bookmarkEnd w:id="0"/>
    <w:p w14:paraId="27C083BB" w14:textId="77777777" w:rsidR="007514D2" w:rsidRPr="007514D2" w:rsidRDefault="007514D2" w:rsidP="008A679A">
      <w:pPr>
        <w:rPr>
          <w:b/>
          <w:bCs/>
          <w:szCs w:val="22"/>
        </w:rPr>
      </w:pPr>
    </w:p>
    <w:p w14:paraId="2FE9608B" w14:textId="72491713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서론</w:t>
      </w:r>
    </w:p>
    <w:p w14:paraId="40587EC1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빈집 예측의 접근 관점과 연구 필요성</w:t>
      </w:r>
    </w:p>
    <w:p w14:paraId="012FD864" w14:textId="488C1042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기존 연구 동향 및 분절적 한계</w:t>
      </w:r>
    </w:p>
    <w:p w14:paraId="238D300C" w14:textId="45A834C7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빈집의 정의와 분류</w:t>
      </w:r>
    </w:p>
    <w:p w14:paraId="7A790D4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법적 기준(1년 이상 미거주, 「빈집 및 소규모주택 정비에 관한 특례법」 등) vs. 통계 기준(통계청 인구주택총조사, 조사시점 미거주 포함) vs. 연구자 정의(실태조사, 에너지데이터 등)</w:t>
      </w:r>
    </w:p>
    <w:p w14:paraId="10FF6F1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‘1년 이상 미거주 주택’의 표준화 필요성</w:t>
      </w:r>
    </w:p>
    <w:p w14:paraId="3255A531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폐가, 공가, 기타사유 등 하위 유형 구분</w:t>
      </w:r>
    </w:p>
    <w:p w14:paraId="1AAF087E" w14:textId="2272D4C1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예측 목적의 구분 및 지표 설계 방향</w:t>
      </w:r>
    </w:p>
    <w:p w14:paraId="47E58C62" w14:textId="58B61619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빈집 비율 예측형: 공간적 분포 및 수준 파악 중심</w:t>
      </w:r>
    </w:p>
    <w:p w14:paraId="4C4777CC" w14:textId="25819249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빈집 증감률 예측형: 시계열 및 공간의존성 반영</w:t>
      </w:r>
    </w:p>
    <w:p w14:paraId="6CCBB209" w14:textId="0DA4220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복합지수형(빈집지수): 관리 및 정책 활용 목적</w:t>
      </w:r>
    </w:p>
    <w:p w14:paraId="5D79F6CF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프로젝트 목표: 집계구 단위 빈집 비율 예측 및 증감률 분석 병행</w:t>
      </w:r>
    </w:p>
    <w:p w14:paraId="2AFE40A3" w14:textId="54BBD54A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분석단위 및 데이터 특성</w:t>
      </w:r>
    </w:p>
    <w:p w14:paraId="7702741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공간단위(MAUP)별 결과 차이: 집계구, 시군구, 필지, 격자(50m 등)</w:t>
      </w:r>
    </w:p>
    <w:p w14:paraId="342CB67A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데이터 출처: 인구·주택총조사, 건축물대장, 에너지 사용량, SGIS, 현장조사 등</w:t>
      </w:r>
    </w:p>
    <w:p w14:paraId="3261469B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분석단위별 특징 및 적합 분석기법</w:t>
      </w:r>
    </w:p>
    <w:p w14:paraId="58DE6B71" w14:textId="75FEF182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주요 분석기법 비교</w:t>
      </w:r>
    </w:p>
    <w:p w14:paraId="67CCC4A9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통계모형: OLS, GWR, Spatial Lag/SEM 등</w:t>
      </w:r>
    </w:p>
    <w:p w14:paraId="35A175D7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공간·시공간모형: Moran’s I, LISA, 시공간 베이즈모형 등</w:t>
      </w:r>
    </w:p>
    <w:p w14:paraId="0E3288E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머신러닝: XGBoost, RF, LightGBM, 변수 중요도(SHAP)</w:t>
      </w:r>
    </w:p>
    <w:p w14:paraId="43BAF0EA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시계열: SARIMA, ARIMA 등</w:t>
      </w:r>
    </w:p>
    <w:p w14:paraId="75B9298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지수화·유형화: 빈집관리지수, 군집분석 기반 유형화</w:t>
      </w:r>
    </w:p>
    <w:p w14:paraId="5B7B2F28" w14:textId="30DBC614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주요 영향요인 종합</w:t>
      </w:r>
    </w:p>
    <w:p w14:paraId="1FCCE8FA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인구·사회 요인: 고령인구비율, 인구이동률, 1인가구비율 등</w:t>
      </w:r>
    </w:p>
    <w:p w14:paraId="13127153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경제 요인: 재정자립도, 고용률, 소득수준, 부동산시장 등</w:t>
      </w:r>
    </w:p>
    <w:p w14:paraId="459240F6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lastRenderedPageBreak/>
        <w:t>물리·환경 요인: 주택 노후도, 건축연한, 용적률, 경사도, SOC 접근성 등</w:t>
      </w:r>
    </w:p>
    <w:p w14:paraId="16D305F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정책·제도 요인: 정비사업 지연, 법·세제 구조, 통계 불일치 등</w:t>
      </w:r>
    </w:p>
    <w:p w14:paraId="3898C473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에너지 데이터: 전기사용량·수도사용량 기반 실측지표의 유효성</w:t>
      </w:r>
    </w:p>
    <w:p w14:paraId="57B542F2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종합: 사회적 요인과 물리적 요인이 공통적으로 높은 영향력</w:t>
      </w:r>
    </w:p>
    <w:p w14:paraId="5FD62F94" w14:textId="0D747827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빈집 데이터 구축 및 관리 방향</w:t>
      </w:r>
    </w:p>
    <w:p w14:paraId="36EC2FA9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실태조사, 행정데이터, 에너지데이터, 공간데이터 통합 필요</w:t>
      </w:r>
    </w:p>
    <w:p w14:paraId="1DED39A4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GIS 기반 이력관리 및 DB 구축</w:t>
      </w:r>
    </w:p>
    <w:p w14:paraId="30C91ADA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에너지데이터 기반 자동탐지와 현장검증 병행체계 제안</w:t>
      </w:r>
    </w:p>
    <w:p w14:paraId="2E17E19B" w14:textId="3A0F14CD" w:rsidR="008A679A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정책적 시사점 및 향후 방향</w:t>
      </w:r>
    </w:p>
    <w:p w14:paraId="6536CAED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빈집정의 및 통계체계 일원화</w:t>
      </w:r>
    </w:p>
    <w:p w14:paraId="0213DB37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공간단위(MAUP) 고려한 정밀 예측정책</w:t>
      </w:r>
    </w:p>
    <w:p w14:paraId="4ECD7CC9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시공간적 확산(전염성) 고려한 광역정책</w:t>
      </w:r>
    </w:p>
    <w:p w14:paraId="3C390084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지역유형별 맞춤형 관리전략</w:t>
      </w:r>
    </w:p>
    <w:p w14:paraId="71D59C1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머신러닝 기반 행정예측시스템 도입</w:t>
      </w:r>
    </w:p>
    <w:p w14:paraId="2AD24440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에너지데이터 기반 실시간 모니터링 체계 구축</w:t>
      </w:r>
    </w:p>
    <w:p w14:paraId="5F9104B8" w14:textId="77777777" w:rsidR="008A679A" w:rsidRPr="008A679A" w:rsidRDefault="008A679A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빈집의 커뮤니티·문화공간 등 활용전략</w:t>
      </w:r>
    </w:p>
    <w:p w14:paraId="16A099BD" w14:textId="5157832F" w:rsidR="00B171C6" w:rsidRPr="00102377" w:rsidRDefault="008A679A" w:rsidP="00102377">
      <w:pPr>
        <w:pStyle w:val="a6"/>
        <w:numPr>
          <w:ilvl w:val="0"/>
          <w:numId w:val="34"/>
        </w:numPr>
        <w:rPr>
          <w:sz w:val="18"/>
          <w:szCs w:val="18"/>
        </w:rPr>
      </w:pPr>
      <w:r w:rsidRPr="00102377">
        <w:rPr>
          <w:sz w:val="18"/>
          <w:szCs w:val="18"/>
        </w:rPr>
        <w:t>이번 프로젝트에의 적용 제안</w:t>
      </w:r>
    </w:p>
    <w:p w14:paraId="2A36B7AF" w14:textId="77777777" w:rsidR="00B171C6" w:rsidRPr="008A679A" w:rsidRDefault="00B171C6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예측대상: 집계구 단위 빈집 비율 및 증감률</w:t>
      </w:r>
    </w:p>
    <w:p w14:paraId="10318E1E" w14:textId="77777777" w:rsidR="00B171C6" w:rsidRPr="008A679A" w:rsidRDefault="00B171C6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예측기법: GWR + XGBoost 복합 접근</w:t>
      </w:r>
    </w:p>
    <w:p w14:paraId="5825CAB2" w14:textId="77777777" w:rsidR="00B171C6" w:rsidRPr="008A679A" w:rsidRDefault="00B171C6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데이터구성: 인구·사회, 경제, 물리·환경, 에너지 사용량, 행정데이터</w:t>
      </w:r>
    </w:p>
    <w:p w14:paraId="069B8095" w14:textId="795E160A" w:rsidR="00B171C6" w:rsidRPr="00B171C6" w:rsidRDefault="00B171C6" w:rsidP="00102377">
      <w:pPr>
        <w:numPr>
          <w:ilvl w:val="1"/>
          <w:numId w:val="34"/>
        </w:numPr>
        <w:rPr>
          <w:sz w:val="18"/>
          <w:szCs w:val="18"/>
        </w:rPr>
      </w:pPr>
      <w:r w:rsidRPr="008A679A">
        <w:rPr>
          <w:sz w:val="18"/>
          <w:szCs w:val="18"/>
        </w:rPr>
        <w:t>추가활용: 향후 빈집관리지수(VMI) 개발 기반</w:t>
      </w:r>
    </w:p>
    <w:p w14:paraId="3E746581" w14:textId="77777777" w:rsidR="00B171C6" w:rsidRDefault="00B171C6" w:rsidP="00B171C6">
      <w:pPr>
        <w:ind w:firstLineChars="300" w:firstLine="540"/>
        <w:rPr>
          <w:sz w:val="18"/>
          <w:szCs w:val="18"/>
        </w:rPr>
      </w:pPr>
    </w:p>
    <w:p w14:paraId="501B4921" w14:textId="29806A22" w:rsidR="00B171C6" w:rsidRPr="008A679A" w:rsidRDefault="00B171C6" w:rsidP="00102377">
      <w:pPr>
        <w:rPr>
          <w:sz w:val="18"/>
          <w:szCs w:val="18"/>
        </w:rPr>
      </w:pPr>
      <w:r w:rsidRPr="00B171C6">
        <w:rPr>
          <w:sz w:val="18"/>
          <w:szCs w:val="18"/>
        </w:rPr>
        <w:t>[참고문헌 및 선행연구 목록]</w:t>
      </w:r>
    </w:p>
    <w:p w14:paraId="55DAF34F" w14:textId="77777777" w:rsidR="008A679A" w:rsidRPr="00B171C6" w:rsidRDefault="008A679A" w:rsidP="008A679A">
      <w:pPr>
        <w:rPr>
          <w:szCs w:val="22"/>
        </w:rPr>
      </w:pPr>
    </w:p>
    <w:p w14:paraId="072B8FDE" w14:textId="77777777" w:rsidR="008A679A" w:rsidRPr="008A679A" w:rsidRDefault="008A679A" w:rsidP="008A679A">
      <w:pPr>
        <w:rPr>
          <w:szCs w:val="22"/>
        </w:rPr>
      </w:pPr>
    </w:p>
    <w:p w14:paraId="48DF3659" w14:textId="77777777" w:rsidR="008A679A" w:rsidRPr="008A679A" w:rsidRDefault="008A679A" w:rsidP="008A679A">
      <w:pPr>
        <w:rPr>
          <w:szCs w:val="22"/>
        </w:rPr>
      </w:pPr>
    </w:p>
    <w:p w14:paraId="231B3C8E" w14:textId="77777777" w:rsidR="008A679A" w:rsidRPr="008A679A" w:rsidRDefault="008A679A" w:rsidP="008A679A">
      <w:pPr>
        <w:rPr>
          <w:szCs w:val="22"/>
        </w:rPr>
      </w:pPr>
    </w:p>
    <w:p w14:paraId="73B32753" w14:textId="77777777" w:rsidR="008A679A" w:rsidRPr="008A679A" w:rsidRDefault="008A679A" w:rsidP="008A679A">
      <w:pPr>
        <w:rPr>
          <w:szCs w:val="22"/>
        </w:rPr>
      </w:pPr>
    </w:p>
    <w:p w14:paraId="11C65456" w14:textId="026B41B2" w:rsidR="008A679A" w:rsidRPr="008A679A" w:rsidRDefault="008A679A" w:rsidP="008A679A">
      <w:pPr>
        <w:tabs>
          <w:tab w:val="left" w:pos="1532"/>
        </w:tabs>
        <w:rPr>
          <w:b/>
          <w:bCs/>
          <w:sz w:val="24"/>
        </w:rPr>
      </w:pPr>
      <w:r w:rsidRPr="008A679A">
        <w:rPr>
          <w:b/>
          <w:bCs/>
          <w:sz w:val="24"/>
        </w:rPr>
        <w:lastRenderedPageBreak/>
        <w:t>1. 서론</w:t>
      </w:r>
      <w:r>
        <w:rPr>
          <w:b/>
          <w:bCs/>
          <w:sz w:val="24"/>
        </w:rPr>
        <w:tab/>
      </w:r>
    </w:p>
    <w:p w14:paraId="009E2057" w14:textId="77777777" w:rsidR="008A679A" w:rsidRPr="008A679A" w:rsidRDefault="008A679A" w:rsidP="007514D2">
      <w:pPr>
        <w:ind w:firstLineChars="100" w:firstLine="200"/>
        <w:rPr>
          <w:b/>
          <w:bCs/>
          <w:sz w:val="20"/>
          <w:szCs w:val="20"/>
        </w:rPr>
      </w:pPr>
      <w:r w:rsidRPr="008A679A">
        <w:rPr>
          <w:b/>
          <w:bCs/>
          <w:sz w:val="20"/>
          <w:szCs w:val="20"/>
        </w:rPr>
        <w:t>1.1 빈집 예측의 접근 관점과 연구 필요성</w:t>
      </w:r>
    </w:p>
    <w:p w14:paraId="4D4B6CD1" w14:textId="794F9479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빈집 문제는 단순히 주택의 미사용 상태를 의미하는 것이 아니라,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지역의 사회·경제·물리적 쇠퇴를 반영하는 복합적 현상으로 인식되고 있음.</w:t>
      </w:r>
      <w:r w:rsidRPr="008A679A">
        <w:rPr>
          <w:sz w:val="20"/>
          <w:szCs w:val="20"/>
        </w:rPr>
        <w:br/>
        <w:t>따라서 빈집의 발생과 확산을 예측하는 일은 도시 쇠퇴의 조기경보체계를 구축하는 과정과 동일한 성격을 가짐.</w:t>
      </w:r>
    </w:p>
    <w:p w14:paraId="44301D40" w14:textId="77777777" w:rsidR="00281AF2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빈집 예측은 단순한 수량 추정이 아니라,</w:t>
      </w:r>
      <w:r w:rsidRPr="008A679A">
        <w:rPr>
          <w:sz w:val="20"/>
          <w:szCs w:val="20"/>
        </w:rPr>
        <w:br/>
        <w:t>어떤 요인이 빈집 발생에 영향을 미치고, 그 변화가 시간과 공간을 따라 어떻게 확산되는지를 규명하는 과정임.</w:t>
      </w:r>
      <w:r w:rsidR="00281AF2">
        <w:rPr>
          <w:rFonts w:hint="eastAsia"/>
          <w:sz w:val="20"/>
          <w:szCs w:val="20"/>
        </w:rPr>
        <w:t xml:space="preserve"> </w:t>
      </w:r>
    </w:p>
    <w:p w14:paraId="619A6524" w14:textId="72B92793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이 과정에서 분석 목적(빈집 비율 예측, 증감률 분석, 관리지수 산출)에 따라 데이터 구성과 분석기법이 달라지므로,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연구의 출발점은 ‘무엇을 예측할 것인가’에 대한 명확한 문제 정의가 되어야 함.</w:t>
      </w:r>
    </w:p>
    <w:p w14:paraId="7B270BDD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빈집 비율 예측, 빈집 증감률 예측, 빈집 관리지수 개발 등 분석 목적에 따라 데이터 구성과 기법 선택이 달라짐.</w:t>
      </w:r>
    </w:p>
    <w:p w14:paraId="23FF0BCE" w14:textId="77777777" w:rsidR="008A679A" w:rsidRPr="008A679A" w:rsidRDefault="008A679A" w:rsidP="007514D2">
      <w:pPr>
        <w:numPr>
          <w:ilvl w:val="0"/>
          <w:numId w:val="10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빈집 비율 예측: 시점별 분포와 수준 파악 (선행연구 2, p.496; 선행연구 14, p.9–11)</w:t>
      </w:r>
    </w:p>
    <w:p w14:paraId="0A74B4AE" w14:textId="77777777" w:rsidR="008A679A" w:rsidRPr="008A679A" w:rsidRDefault="008A679A" w:rsidP="007514D2">
      <w:pPr>
        <w:numPr>
          <w:ilvl w:val="0"/>
          <w:numId w:val="10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증감률 예측: 시계열 및 공간적 전염성 분석 (선행연구 5, p.97; 선행연구 11, p.16)</w:t>
      </w:r>
    </w:p>
    <w:p w14:paraId="3A443EB1" w14:textId="77777777" w:rsidR="008A679A" w:rsidRPr="008A679A" w:rsidRDefault="008A679A" w:rsidP="007514D2">
      <w:pPr>
        <w:numPr>
          <w:ilvl w:val="0"/>
          <w:numId w:val="10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지수형 분석: 정책 효율성 평가 및 관리 우선순위 도출 (선행연구 3, p.58–61)</w:t>
      </w:r>
    </w:p>
    <w:p w14:paraId="6725F114" w14:textId="0EA05156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분석의 첫 단계인 문제 정의가 명확하지 않으면,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동일한 데이터를 사용하더라도 분석 단위(행정동·집계구·필지)나 기법(회귀·머신러닝·공간모형)에 따라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결과 해석이 달라지고 정책적 활용 방향도 달라짐.</w:t>
      </w:r>
    </w:p>
    <w:p w14:paraId="359E71DF" w14:textId="126C5E0C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예를 들어, 행정동 단위에서 유의하지 않던 변수(고령인구 비율, 노후주택 비율 등)가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집계구 단위에서는 강한 공간적 자기상관성을 나타내며 빈집 분포를 설명하는 핵심 요인으로 전환됨 (선행연구 2, p.496–497).</w:t>
      </w:r>
    </w:p>
    <w:p w14:paraId="1A83372E" w14:textId="6539915C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또한 과거 시점의 빈집 비율이 현재 빈집 비율에 유의미한 영향을 주는 등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시간적 누적효과와 공간적 파급효과(시공간 종속성)가 확인됨으로써,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단순한 회귀모형보다 시공간적 접근의 필요성이 강조됨 (선행연구 11, p.16; 선행연구 5, p.97).</w:t>
      </w:r>
    </w:p>
    <w:p w14:paraId="36E897E8" w14:textId="41A513D9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따라서 본 연구는 빈집 예측을 공간·시간·사회적 맥락을 함께 고려하는 통합적 예측 문제로 정의하고,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데이터 기반 접근(Data-driven Hypothesis Framing)을 통해 문제 정의–가설 설정–모델 설계의 일관된 구조를 구축하고자 함.</w:t>
      </w:r>
    </w:p>
    <w:p w14:paraId="141881F7" w14:textId="77777777" w:rsidR="008A679A" w:rsidRPr="008A679A" w:rsidRDefault="008A679A" w:rsidP="007514D2">
      <w:pPr>
        <w:ind w:firstLineChars="100" w:firstLine="200"/>
        <w:rPr>
          <w:b/>
          <w:bCs/>
          <w:sz w:val="20"/>
          <w:szCs w:val="20"/>
        </w:rPr>
      </w:pPr>
      <w:r w:rsidRPr="008A679A">
        <w:rPr>
          <w:b/>
          <w:bCs/>
          <w:sz w:val="20"/>
          <w:szCs w:val="20"/>
        </w:rPr>
        <w:t>1.2 기존 연구 동향 및 분절적 한계</w:t>
      </w:r>
    </w:p>
    <w:p w14:paraId="0B3E9CAD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기존의 빈집 관련 연구는 도시계획, 부동산, 통계, 정책 등 다양한 분야에서 수행되어 왔으나,</w:t>
      </w:r>
      <w:r w:rsidRPr="008A679A">
        <w:rPr>
          <w:sz w:val="20"/>
          <w:szCs w:val="20"/>
        </w:rPr>
        <w:br/>
      </w:r>
      <w:r w:rsidRPr="008A679A">
        <w:rPr>
          <w:sz w:val="20"/>
          <w:szCs w:val="20"/>
        </w:rPr>
        <w:lastRenderedPageBreak/>
        <w:t>연구 간 접근방식과 분석 범위의 차이로 인해 결과의 일관성이 부족함.</w:t>
      </w:r>
    </w:p>
    <w:p w14:paraId="7C0D584F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첫째, 빈집의 정의가 연구마다 상이함.</w:t>
      </w:r>
    </w:p>
    <w:p w14:paraId="2701C922" w14:textId="77777777" w:rsidR="008A679A" w:rsidRPr="008A679A" w:rsidRDefault="008A679A" w:rsidP="007514D2">
      <w:pPr>
        <w:numPr>
          <w:ilvl w:val="0"/>
          <w:numId w:val="11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법률상으로는 「빈집 및 소규모주택 정비에 관한 특례법」과 「농어촌정비법」에서</w:t>
      </w:r>
      <w:r w:rsidRPr="008A679A">
        <w:rPr>
          <w:sz w:val="20"/>
          <w:szCs w:val="20"/>
        </w:rPr>
        <w:br/>
        <w:t>‘1년 이상 아무도 거주하거나 사용하지 않는 주택’을 빈집으로 규정 (선행연구 1, p.278; 선행연구 6, p.74).</w:t>
      </w:r>
    </w:p>
    <w:p w14:paraId="0A8DEFB4" w14:textId="77777777" w:rsidR="008A679A" w:rsidRPr="008A679A" w:rsidRDefault="008A679A" w:rsidP="007514D2">
      <w:pPr>
        <w:numPr>
          <w:ilvl w:val="0"/>
          <w:numId w:val="11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통계청은 조사시점에 사람이 거주하지 않는 주택(미입주 포함)을 빈집으로 분류 (선행연구 5, p.3; 선행연구 13, p.5).</w:t>
      </w:r>
    </w:p>
    <w:p w14:paraId="02317169" w14:textId="77777777" w:rsidR="008A679A" w:rsidRPr="008A679A" w:rsidRDefault="008A679A" w:rsidP="007514D2">
      <w:pPr>
        <w:numPr>
          <w:ilvl w:val="0"/>
          <w:numId w:val="11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연구별로는 파손률, 미분양, 방치기간 등을 기준으로 빈집의 범위를 달리 설정 (선행연구 9, p.8; 선행연구 10, p.13).</w:t>
      </w:r>
    </w:p>
    <w:p w14:paraId="3DD87248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둘째, 공간단위가 상이하여 분석결과의 비교가 어려움.</w:t>
      </w:r>
    </w:p>
    <w:p w14:paraId="33A50349" w14:textId="77777777" w:rsidR="008A679A" w:rsidRPr="008A679A" w:rsidRDefault="008A679A" w:rsidP="007514D2">
      <w:pPr>
        <w:numPr>
          <w:ilvl w:val="0"/>
          <w:numId w:val="12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시군구 단위 분석에서는 거시적 변수(재정자립도, 산업체 수 변화율 등)가 주요 요인으로 나타남 (선행연구 17, p.56).</w:t>
      </w:r>
    </w:p>
    <w:p w14:paraId="5C7BCACE" w14:textId="77777777" w:rsidR="008A679A" w:rsidRPr="008A679A" w:rsidRDefault="008A679A" w:rsidP="007514D2">
      <w:pPr>
        <w:numPr>
          <w:ilvl w:val="0"/>
          <w:numId w:val="12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반면, 집계구 단위에서는 미시적 변수(노후주택 비율, 1인 가구 비율 등)의 설명력이 높음 (선행연구 2, p.496; 선행연구 14, p.8).</w:t>
      </w:r>
    </w:p>
    <w:p w14:paraId="14201F06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셋째, 사용된 분석기법이 다르며, 각 연구의 결과 해석 방향이 달라짐.</w:t>
      </w:r>
    </w:p>
    <w:p w14:paraId="2F52E905" w14:textId="77777777" w:rsidR="008A679A" w:rsidRPr="008A679A" w:rsidRDefault="008A679A" w:rsidP="007514D2">
      <w:pPr>
        <w:numPr>
          <w:ilvl w:val="0"/>
          <w:numId w:val="13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전통적 회귀모형(OLS, GWR 등)은 인과관계 설명에는 유리하나, 예측 정확도가 낮음 (선행연구 3, p.135–145).</w:t>
      </w:r>
    </w:p>
    <w:p w14:paraId="1AC2355E" w14:textId="77777777" w:rsidR="008A679A" w:rsidRPr="008A679A" w:rsidRDefault="008A679A" w:rsidP="007514D2">
      <w:pPr>
        <w:numPr>
          <w:ilvl w:val="0"/>
          <w:numId w:val="13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머신러닝 기반 연구(XGBoost, RandomForest 등)는 예측력은 높지만, 변수 해석력이 낮음 (선행연구 4, p.13; 선행연구 12, p.9–11).</w:t>
      </w:r>
    </w:p>
    <w:p w14:paraId="278614BE" w14:textId="77777777" w:rsidR="008A679A" w:rsidRPr="008A679A" w:rsidRDefault="008A679A" w:rsidP="007514D2">
      <w:pPr>
        <w:numPr>
          <w:ilvl w:val="0"/>
          <w:numId w:val="13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시공간 모델(Bayesian, SAR, SEM 등)은 공간·시간 종속성을 반영하지만, 고해상도 데이터 구축이 필요 (선행연구 11, p.15–17).</w:t>
      </w:r>
    </w:p>
    <w:p w14:paraId="5DD67C56" w14:textId="77777777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넷째, 법적·행정적 통계체계의 이원화 문제로 데이터의 일관성이 부족함.</w:t>
      </w:r>
    </w:p>
    <w:p w14:paraId="086CDBBE" w14:textId="77777777" w:rsidR="008A679A" w:rsidRPr="008A679A" w:rsidRDefault="008A679A" w:rsidP="007514D2">
      <w:pPr>
        <w:numPr>
          <w:ilvl w:val="0"/>
          <w:numId w:val="14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8A679A">
        <w:rPr>
          <w:sz w:val="20"/>
          <w:szCs w:val="20"/>
        </w:rPr>
        <w:t>통계청과 농림부의 빈집 조사 기준이 달라, 동일 지역에서도 빈집 수가 15~18배 차이를 보임 (선행연구 6, p.71).</w:t>
      </w:r>
    </w:p>
    <w:p w14:paraId="5336BC19" w14:textId="6E81151E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이러한 분절적 한계는 빈집의 원인 규명과 예측정확도를 저하시킬 뿐 아니라,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지자체의 정책 우선순위 설정에도 혼선을 초래하고 있음.</w:t>
      </w:r>
    </w:p>
    <w:p w14:paraId="75DAEE22" w14:textId="768E1F6C" w:rsidR="008A679A" w:rsidRPr="008A679A" w:rsidRDefault="008A679A" w:rsidP="007514D2">
      <w:pPr>
        <w:ind w:leftChars="200" w:left="440"/>
        <w:rPr>
          <w:sz w:val="20"/>
          <w:szCs w:val="20"/>
        </w:rPr>
      </w:pPr>
      <w:r w:rsidRPr="008A679A">
        <w:rPr>
          <w:sz w:val="20"/>
          <w:szCs w:val="20"/>
        </w:rPr>
        <w:t>• 따라서 본 연구는 선행연구를 종합 검토하여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법적 정의–공간단위–모형기법–데이터체계의 불일치를 통합적으로 정리하고,</w:t>
      </w:r>
      <w:r w:rsidR="00281AF2">
        <w:rPr>
          <w:rFonts w:hint="eastAsia"/>
          <w:sz w:val="20"/>
          <w:szCs w:val="20"/>
        </w:rPr>
        <w:t xml:space="preserve"> </w:t>
      </w:r>
      <w:r w:rsidRPr="008A679A">
        <w:rPr>
          <w:sz w:val="20"/>
          <w:szCs w:val="20"/>
        </w:rPr>
        <w:t>향후 빈집 예측 모델의 체계적 구축 방향을 제시하고자 함.</w:t>
      </w:r>
    </w:p>
    <w:p w14:paraId="348F335E" w14:textId="77777777" w:rsidR="007514D2" w:rsidRPr="007514D2" w:rsidRDefault="007514D2" w:rsidP="007514D2">
      <w:pPr>
        <w:rPr>
          <w:b/>
          <w:bCs/>
          <w:sz w:val="24"/>
        </w:rPr>
      </w:pPr>
      <w:r w:rsidRPr="007514D2">
        <w:rPr>
          <w:b/>
          <w:bCs/>
          <w:sz w:val="24"/>
        </w:rPr>
        <w:t>2. 빈집의 정의와 분류</w:t>
      </w:r>
    </w:p>
    <w:p w14:paraId="74B2623B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2.1 법적 기준, 통계 기준, 연구자 정의의 차이</w:t>
      </w:r>
    </w:p>
    <w:p w14:paraId="7A6F5D67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법적 기준에서는 「빈집 및 소규모주택 정비에 관한 특례법」과 「농어촌정비법」에서</w:t>
      </w:r>
      <w:r w:rsidRPr="007514D2">
        <w:rPr>
          <w:sz w:val="20"/>
          <w:szCs w:val="20"/>
        </w:rPr>
        <w:br/>
      </w:r>
      <w:r w:rsidRPr="007514D2">
        <w:rPr>
          <w:sz w:val="20"/>
          <w:szCs w:val="20"/>
        </w:rPr>
        <w:lastRenderedPageBreak/>
        <w:t>‘1년 이상 아무도 거주하거나 사용하지 않는 주택’을 빈집으로 규정 (선행연구 1, p.278; 선행연구 6, p.74).</w:t>
      </w:r>
    </w:p>
    <w:p w14:paraId="1D5F2EE2" w14:textId="08B9977F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통계 기준에서는 통계청 인구주택총조사에서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조사 시점에 사람이 거주하지 않거나 사용하지 않는 주택을 빈집으로 분류하며,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미분양·일시적 공실 등도 포함 (선행연구 5, p.3; 선행연구 14, p.3).</w:t>
      </w:r>
    </w:p>
    <w:p w14:paraId="67964E52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연구자 정의는 각 연구의 목적과 데이터 가용성에 따라 달라짐.</w:t>
      </w:r>
    </w:p>
    <w:p w14:paraId="0C477ECD" w14:textId="77777777" w:rsidR="007514D2" w:rsidRPr="007514D2" w:rsidRDefault="007514D2" w:rsidP="007514D2">
      <w:pPr>
        <w:numPr>
          <w:ilvl w:val="0"/>
          <w:numId w:val="15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실태조사 기반: 현장 확인을 통해 ‘1년 이상 미거주 + 파손율 50% 이상’을 빈집으로 정의 (선행연구 8, p.39; 선행연구 9, p.8).</w:t>
      </w:r>
    </w:p>
    <w:p w14:paraId="2DD83E3D" w14:textId="77777777" w:rsidR="007514D2" w:rsidRPr="007514D2" w:rsidRDefault="007514D2" w:rsidP="007514D2">
      <w:pPr>
        <w:numPr>
          <w:ilvl w:val="0"/>
          <w:numId w:val="15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에너지 데이터 기반: 월평균 전기사용량 20kWh 이하 또는 상수도 단수 기준으로 추정 빈집을 정의 (선행연구 15, p.5–6; 선행연구 7, p.123).</w:t>
      </w:r>
    </w:p>
    <w:p w14:paraId="5BD873BD" w14:textId="77777777" w:rsidR="007514D2" w:rsidRPr="007514D2" w:rsidRDefault="007514D2" w:rsidP="007514D2">
      <w:pPr>
        <w:numPr>
          <w:ilvl w:val="0"/>
          <w:numId w:val="15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머신러닝 기반: 행정데이터(건축물대장, SGIS, 공시지가 등)와 현장조사 데이터를 결합하여 실질적 미사용 건축물로 재정의 (선행연구 4, p.7–8; 선행연구 12, p.6–8).</w:t>
      </w:r>
    </w:p>
    <w:p w14:paraId="19DD01BD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이처럼 법적·통계적·연구자 정의가 상이하여, 동일 지역에서도 빈집 수에 큰 편차가 발생함.</w:t>
      </w:r>
      <w:r w:rsidRPr="007514D2">
        <w:rPr>
          <w:sz w:val="20"/>
          <w:szCs w:val="20"/>
        </w:rPr>
        <w:br/>
        <w:t>예를 들어, 경남 지역의 경우 통계청과 농림부 통계 간 15~18배의 차이를 보임 (선행연구 6, p.71).</w:t>
      </w:r>
    </w:p>
    <w:p w14:paraId="4E986E99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따라서 빈집 예측의 신뢰성을 높이기 위해서는 법률 기준을 중심으로 하되,</w:t>
      </w:r>
      <w:r w:rsidRPr="007514D2">
        <w:rPr>
          <w:sz w:val="20"/>
          <w:szCs w:val="20"/>
        </w:rPr>
        <w:br/>
        <w:t xml:space="preserve">통계 및 데이터 접근성 측면에서 보완이 가능한 </w:t>
      </w:r>
      <w:r w:rsidRPr="007514D2">
        <w:rPr>
          <w:b/>
          <w:bCs/>
          <w:sz w:val="20"/>
          <w:szCs w:val="20"/>
        </w:rPr>
        <w:t>표준화된 빈집 정의 체계</w:t>
      </w:r>
      <w:r w:rsidRPr="007514D2">
        <w:rPr>
          <w:sz w:val="20"/>
          <w:szCs w:val="20"/>
        </w:rPr>
        <w:t>가 필요함.</w:t>
      </w:r>
    </w:p>
    <w:p w14:paraId="48D7D39A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2.2 ‘1년 이상 미거주 주택’의 표준화 필요성</w:t>
      </w:r>
    </w:p>
    <w:p w14:paraId="1ADD83A1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대부분의 법적·행정적 기준은 ‘1년 이상 미거주’를 최소 조건으로 설정하고 있으나,</w:t>
      </w:r>
      <w:r w:rsidRPr="007514D2">
        <w:rPr>
          <w:sz w:val="20"/>
          <w:szCs w:val="20"/>
        </w:rPr>
        <w:br/>
        <w:t>실제 데이터 구축 시에는 조사 주기나 행정정보 연계 문제로 인해 6개월, 3개월 단위로도 활용됨 (선행연구 8, p.39; 선행연구 15, p.5).</w:t>
      </w:r>
    </w:p>
    <w:p w14:paraId="3F0F724F" w14:textId="0B9C7899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주거용 전기사용량, 상수도, 가스 등의 공공데이터를 활용할 경우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계절적 변동·단기 공실(이사, 리모델링 등)을 고려해 일정 기간(예: 12개월 평균 20kWh 미만)으로 표준화하는 방식이 효과적임 (선행연구 15, p.5–7).</w:t>
      </w:r>
    </w:p>
    <w:p w14:paraId="4EA10ABA" w14:textId="33DB5F9A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실태조사 기반의 빈집 분류에서는 ‘1년 이상 미거주’ 기준 외에도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파손율, 안전등급, 활용 가능성 등 물리적 상태를 병행 고려함 (선행연구 7, 선행연구 9, p.12–14).</w:t>
      </w:r>
    </w:p>
    <w:p w14:paraId="13256D18" w14:textId="30FE67CC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이러한 다양한 판단 기준을 종합할 때,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‘1년 이상 미거주’를 중심으로 하되 에너지사용량, 물리적 상태, 현장확인 결과를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보조 지표로 통합하는 복합적 판단 기준이 필요함.</w:t>
      </w:r>
    </w:p>
    <w:p w14:paraId="1DD6FE4C" w14:textId="08557D3D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이는 향후 빈집 데이터베이스 구축 시 중복 정의 문제를 방지하고,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시계열 분석 및 머신러닝 모델링 시 일관된 레이블링(Labeling)을 가능하게 함.</w:t>
      </w:r>
    </w:p>
    <w:p w14:paraId="5BE67583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2.3 폐가·공가·기타사유 등 하위 유형 구분</w:t>
      </w:r>
    </w:p>
    <w:p w14:paraId="3336FC81" w14:textId="6816D561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빈집은 미거주 기간 외에도 상태와 방치 원인에 따라 세분화될 수 있음.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대표적으로 폐가</w:t>
      </w:r>
      <w:r w:rsidRPr="007514D2">
        <w:rPr>
          <w:sz w:val="20"/>
          <w:szCs w:val="20"/>
        </w:rPr>
        <w:lastRenderedPageBreak/>
        <w:t>(파손율 50% 이상), 공가(50% 미만 파손), 기타사유(상속, 미분양, 행정분쟁 등)로 구분됨 (선행연구 9, p.8; 선행연구 10, p.13).</w:t>
      </w:r>
    </w:p>
    <w:p w14:paraId="5F81B980" w14:textId="763FADEB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폐가는 구조적 안전 문제가 크고 활용 가능성이 낮아, 철거·정비 중심의 관리가 필요함 (선행연구 10, p.45–46).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공가는 물리적 노후도는 낮으나, 단기 방치나 인구이동에 따른 일시적 공실이므로 재활용·리모델링 중심의 정책이 효과적임 (선행연구 9, p.18–19).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기타사유 빈집은 상속포기, 소유자 불명, 장기 미분양 등 비경제적 사유로 발생하며, 법·제도 개선이 핵심 과제임 (선행연구 8, p.19–23).</w:t>
      </w:r>
    </w:p>
    <w:p w14:paraId="0EB65F23" w14:textId="11DC0554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이러한 하위 유형 구분은 빈집의 발생 원인을 진단하고,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정책·모델링 단계에서 빈집의 ‘유형별 예측’ 혹은 ‘관리 우선순위’ 산정에 활용될 수 있음.</w:t>
      </w:r>
    </w:p>
    <w:p w14:paraId="056C69F5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특히 클러스터 분석을 통한 유형화(노후 단독주택형, 과잉공급형, 재정비지연형 등)는</w:t>
      </w:r>
      <w:r w:rsidRPr="007514D2">
        <w:rPr>
          <w:sz w:val="20"/>
          <w:szCs w:val="20"/>
        </w:rPr>
        <w:br/>
        <w:t>지역별 맞춤형 정책 수립의 근거로 활용 가능 (선행연구 16, p.7–9; 선행연구 9, p.12–14).</w:t>
      </w:r>
    </w:p>
    <w:p w14:paraId="2B297DE0" w14:textId="63EE7C59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따라서 향후 빈집 예측 모델에서도 단순한 비율 예측이 아닌,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빈집의 상태·사유·공간적 분포를 함께 고려한 다차원적 예측 체계가 필요함.</w:t>
      </w:r>
    </w:p>
    <w:p w14:paraId="133B3238" w14:textId="77777777" w:rsidR="008A679A" w:rsidRDefault="008A679A" w:rsidP="008A679A">
      <w:pPr>
        <w:rPr>
          <w:sz w:val="20"/>
          <w:szCs w:val="20"/>
        </w:rPr>
      </w:pPr>
    </w:p>
    <w:p w14:paraId="34BABD40" w14:textId="77777777" w:rsidR="007514D2" w:rsidRPr="007514D2" w:rsidRDefault="007514D2" w:rsidP="007514D2">
      <w:pPr>
        <w:rPr>
          <w:b/>
          <w:bCs/>
          <w:sz w:val="24"/>
        </w:rPr>
      </w:pPr>
      <w:r w:rsidRPr="007514D2">
        <w:rPr>
          <w:b/>
          <w:bCs/>
          <w:sz w:val="24"/>
        </w:rPr>
        <w:t>3. 예측 목적의 구분 및 지표 설계 방향</w:t>
      </w:r>
    </w:p>
    <w:p w14:paraId="7AFAFD9D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3.1 빈집 비율 예측형: 공간적 분포 및 수준 파악 중심</w:t>
      </w:r>
    </w:p>
    <w:p w14:paraId="09E0672D" w14:textId="589CF86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비율 예측형 접근은 특정 시점의 공간적 분포와 수준을 파악하는 데 초점을 둔 방식으로,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전체 주택 수 대비 빈집 수의 비율(빈집비율)을 종속변수로 설정함 (선행연구 2, p.496; 선행연구 14, p.3).</w:t>
      </w:r>
    </w:p>
    <w:p w14:paraId="00E2D5A2" w14:textId="24BAFBF6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주요 목적은 지역 간 빈집 분포 차이를 분석하고,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노후도·고령인구 비율·주택유형·정비구역 여부 등 물리적·사회적 요인의 공간적 영향력을 규명하는 것임 (선행연구 14, p.8–12).</w:t>
      </w:r>
    </w:p>
    <w:p w14:paraId="192A68BE" w14:textId="02D4234B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대표적인 분석기법으로는 회귀분석(OLS, GWR), 공간자기상관분석(Moran’s I, LISA),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시군구·집계구 단위 GIS 기반 시각화가 활용됨 (선행연구 5, p.94–97; 선행연구 10, p.50–51).</w:t>
      </w:r>
    </w:p>
    <w:p w14:paraId="0B01000B" w14:textId="7545A5D8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비율 예측형 모델은 비교적 단기적 정책 수립(예: 빈집관리 우선지역 지정, 재생사업 연계)에 적합하며,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예측 결과는 시점별 모니터링 및 공간집중도 분석에 활용 가능함 (선행연구 2, p.497; 선행연구 10, p.56–57).</w:t>
      </w:r>
    </w:p>
    <w:p w14:paraId="406B5BC2" w14:textId="381D8493" w:rsidR="007514D2" w:rsidRPr="007514D2" w:rsidRDefault="007514D2" w:rsidP="007514D2">
      <w:pPr>
        <w:rPr>
          <w:sz w:val="20"/>
          <w:szCs w:val="20"/>
        </w:rPr>
      </w:pPr>
    </w:p>
    <w:p w14:paraId="71ABF4AF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3.2 빈집 증감률 예측형: 시계열 및 공간의존성 반영</w:t>
      </w:r>
    </w:p>
    <w:p w14:paraId="6CD6BF94" w14:textId="1C0CD783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증감률 예측형은 특정 기간 동안의 빈집 비율 변화율을 분석하여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시간적 추세(증가·감소 방향)와 인접 지역 간 상관성을 함께 고려하는 접근임 (선행연구 5, p.97; 선행연구 11, p.16).</w:t>
      </w:r>
    </w:p>
    <w:p w14:paraId="05808116" w14:textId="1FEA1BA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핵심은 단순 시점 간 차이가 아니라,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 xml:space="preserve">빈집 발생이 주변 지역과 시간의 흐름 속에서 ‘전염적 </w:t>
      </w:r>
      <w:r w:rsidRPr="007514D2">
        <w:rPr>
          <w:sz w:val="20"/>
          <w:szCs w:val="20"/>
        </w:rPr>
        <w:lastRenderedPageBreak/>
        <w:t>특성(spillover)’을 보인다는 점을 반영하는 것임 (선행연구 5, p.96; 선행연구 11, p.19).</w:t>
      </w:r>
    </w:p>
    <w:p w14:paraId="2DE4E742" w14:textId="6214FA0B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대표적인 분석기법으로는 공간회귀모형(Spatial Lag Model, Spatial Error Model),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시공간 패널모델(Bayesian Spatio-temporal Model) 등이 사용됨 (선행연구 11, p.13–15).</w:t>
      </w:r>
    </w:p>
    <w:p w14:paraId="4188A6A5" w14:textId="5565585A" w:rsidR="007514D2" w:rsidRPr="007514D2" w:rsidRDefault="007514D2" w:rsidP="00281AF2">
      <w:pPr>
        <w:ind w:leftChars="200" w:left="640" w:hangingChars="100" w:hanging="200"/>
        <w:rPr>
          <w:sz w:val="20"/>
          <w:szCs w:val="20"/>
        </w:rPr>
      </w:pPr>
      <w:r w:rsidRPr="007514D2">
        <w:rPr>
          <w:sz w:val="20"/>
          <w:szCs w:val="20"/>
        </w:rPr>
        <w:t>• 주요 설명변수는 인구감소율, 고령화율, 노후주택비율, 순이동인구, 산업체 변화율 등이며,시계열 데이터(5~10년 주기)의 결합을 통해 변화 추세를 추정함 (선행연구 13, p.10–18; 선행연구 17, p.60–61).</w:t>
      </w:r>
    </w:p>
    <w:p w14:paraId="326DCF59" w14:textId="784DA2A4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증감률 예측형 접근은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도시 쇠퇴의 진행 방향, 빈집 확산의 위험 지역을 조기에 탐지하고,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공간적 연쇄효과를 고려한 광역 단위 정책 수립에 유용함 (선행연구 5, p.11; 선행연구 11, p.20).</w:t>
      </w:r>
    </w:p>
    <w:p w14:paraId="39B86725" w14:textId="5F73C834" w:rsidR="007514D2" w:rsidRPr="007514D2" w:rsidRDefault="007514D2" w:rsidP="007514D2">
      <w:pPr>
        <w:rPr>
          <w:sz w:val="20"/>
          <w:szCs w:val="20"/>
        </w:rPr>
      </w:pPr>
    </w:p>
    <w:p w14:paraId="7259B9CD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3.3 복합지수형(빈집지수): 관리 및 정책 활용 목적</w:t>
      </w:r>
    </w:p>
    <w:p w14:paraId="7739D29F" w14:textId="659BC97A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복합지수형 접근은 단순 예측을 넘어,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빈집의 발생·관리·활용 수준을 종합적으로 평가하는 정책 활용 지표를 구축하는 방식임 (선행연구 3, p.58–61).</w:t>
      </w:r>
    </w:p>
    <w:p w14:paraId="0052265C" w14:textId="596B7BCD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빈집지수(Vacancy Index)는 일반적으로</w:t>
      </w:r>
      <w:r w:rsidRPr="007514D2">
        <w:rPr>
          <w:sz w:val="20"/>
          <w:szCs w:val="20"/>
        </w:rPr>
        <w:br/>
        <w:t>물리적 요인(건물 노후도, 파손율), 사회적 요인(인구감소율, 고령화율),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경제적 요인(소득, 재정자립도), 환경적 요인(접근성, 기반시설) 등을 표준화하여 가중합으로 산출함.</w:t>
      </w:r>
    </w:p>
    <w:p w14:paraId="6A964FFE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이러한 지수형 분석은 예측 정확도보다는 관리 우선순위 설정과 정책 평가에 초점을 두며,</w:t>
      </w:r>
      <w:r w:rsidRPr="007514D2">
        <w:rPr>
          <w:sz w:val="20"/>
          <w:szCs w:val="20"/>
        </w:rPr>
        <w:br/>
        <w:t>빈집 정비사업이나 도시재생계획의 사전 타당성 검토 단계에서 활용 가능함 (선행연구 3, p.73–75; 선행연구 16, p.10–12).</w:t>
      </w:r>
    </w:p>
    <w:p w14:paraId="2387A270" w14:textId="14819E3E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국내에서는 빈집관리지수(VMI), 빈집활용도지수(VUI) 등이 일부 지자체에서 시범적으로 도입되고 있으며,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공간정보(GIS) 기반으로 시각화된 위험도 분석과 결합되는 형태로 확장 가능함.</w:t>
      </w:r>
    </w:p>
    <w:p w14:paraId="256F586A" w14:textId="77D453B2" w:rsidR="007514D2" w:rsidRPr="007514D2" w:rsidRDefault="007514D2" w:rsidP="007514D2">
      <w:pPr>
        <w:rPr>
          <w:sz w:val="20"/>
          <w:szCs w:val="20"/>
        </w:rPr>
      </w:pPr>
    </w:p>
    <w:p w14:paraId="3B9F970D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3.4 본 프로젝트의 분석 목표</w:t>
      </w:r>
    </w:p>
    <w:p w14:paraId="74729E91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 xml:space="preserve">• 본 프로젝트의 분석 목표는 </w:t>
      </w:r>
      <w:r w:rsidRPr="007514D2">
        <w:rPr>
          <w:b/>
          <w:bCs/>
          <w:sz w:val="20"/>
          <w:szCs w:val="20"/>
        </w:rPr>
        <w:t>집계구 단위에서의 빈집 비율 예측과 증감률 분석을 병행하는 것</w:t>
      </w:r>
      <w:r w:rsidRPr="007514D2">
        <w:rPr>
          <w:sz w:val="20"/>
          <w:szCs w:val="20"/>
        </w:rPr>
        <w:t>임.</w:t>
      </w:r>
    </w:p>
    <w:p w14:paraId="6C3A2080" w14:textId="434E0E3B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빈집의 공간적 분포(비율 예측)와 시간적 변화(증감률 예측)를 동시에 고려함으로써,</w:t>
      </w:r>
      <w:r w:rsidRPr="007514D2">
        <w:rPr>
          <w:sz w:val="20"/>
          <w:szCs w:val="20"/>
        </w:rPr>
        <w:br/>
        <w:t>특정 지역의 ‘빈집 위험도’를 정량적으로 평가하고,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향후 복합지수형(관리·활용 지수)으로 확장 가능한 기반을 구축하는 것을 목표로 함.</w:t>
      </w:r>
    </w:p>
    <w:p w14:paraId="0CFDCA36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분석 결과는</w:t>
      </w:r>
    </w:p>
    <w:p w14:paraId="7F4328E5" w14:textId="77777777" w:rsidR="007514D2" w:rsidRPr="007514D2" w:rsidRDefault="007514D2" w:rsidP="007514D2">
      <w:pPr>
        <w:numPr>
          <w:ilvl w:val="0"/>
          <w:numId w:val="16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공간적 집중도 분석(핫스팟, 클러스터링)</w:t>
      </w:r>
    </w:p>
    <w:p w14:paraId="4E84CAA2" w14:textId="77777777" w:rsidR="007514D2" w:rsidRPr="007514D2" w:rsidRDefault="007514D2" w:rsidP="007514D2">
      <w:pPr>
        <w:numPr>
          <w:ilvl w:val="0"/>
          <w:numId w:val="16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시계열 기반 추세 분석(증감 패턴)</w:t>
      </w:r>
    </w:p>
    <w:p w14:paraId="575E82FD" w14:textId="77777777" w:rsidR="007514D2" w:rsidRPr="007514D2" w:rsidRDefault="007514D2" w:rsidP="007514D2">
      <w:pPr>
        <w:numPr>
          <w:ilvl w:val="0"/>
          <w:numId w:val="16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lastRenderedPageBreak/>
        <w:t>머신러닝 기반 예측모델(XGBoost, LGBM 등)</w:t>
      </w:r>
      <w:r w:rsidRPr="007514D2">
        <w:rPr>
          <w:sz w:val="20"/>
          <w:szCs w:val="20"/>
        </w:rPr>
        <w:br/>
        <w:t>을 통합하여,</w:t>
      </w:r>
      <w:r w:rsidRPr="007514D2">
        <w:rPr>
          <w:sz w:val="20"/>
          <w:szCs w:val="20"/>
        </w:rPr>
        <w:br/>
        <w:t>집계구 단위의 정밀한 빈집 관리체계 구축에 활용될 예정임.</w:t>
      </w:r>
    </w:p>
    <w:p w14:paraId="32B4A87A" w14:textId="77777777" w:rsidR="007514D2" w:rsidRPr="007514D2" w:rsidRDefault="007514D2" w:rsidP="007514D2">
      <w:pPr>
        <w:rPr>
          <w:b/>
          <w:bCs/>
          <w:sz w:val="24"/>
        </w:rPr>
      </w:pPr>
      <w:r w:rsidRPr="007514D2">
        <w:rPr>
          <w:b/>
          <w:bCs/>
          <w:sz w:val="24"/>
        </w:rPr>
        <w:t>4. 분석단위 및 데이터 특성</w:t>
      </w:r>
    </w:p>
    <w:p w14:paraId="05A5CBCF" w14:textId="77777777" w:rsidR="007514D2" w:rsidRPr="007514D2" w:rsidRDefault="007514D2" w:rsidP="007514D2">
      <w:pPr>
        <w:ind w:firstLineChars="100" w:firstLine="200"/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4.1 공간단위(MAUP)별 결과 차이</w:t>
      </w:r>
    </w:p>
    <w:p w14:paraId="4488671E" w14:textId="59C0FFD2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예측의 결과는 분석에 사용하는 공간단위(시군구, 행정동, 집계구, 필지, 격자 등)에 따라 유의미하게 달라지는 것으로 보고됨.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이는 공간단위 설정에 따라 통계적 관계가 왜곡될 수 있는 MAUP(Modifiable Areal Unit Problem)의 영향 때문임 (선행연구 2, p.495–497).</w:t>
      </w:r>
    </w:p>
    <w:p w14:paraId="3FE8B61A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시군구 단위는 전국 단위 비교와 광역 정책 방향 설정에 유리하며,</w:t>
      </w:r>
      <w:r w:rsidRPr="007514D2">
        <w:rPr>
          <w:sz w:val="20"/>
          <w:szCs w:val="20"/>
        </w:rPr>
        <w:br/>
        <w:t>인구·경제 변수 중심의 분석에서 자주 활용됨 (선행연구 13, p.13–15; 선행연구 17, p.58).</w:t>
      </w:r>
    </w:p>
    <w:p w14:paraId="5D9ED2DE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행정동 단위는 사회경제적 변수를 행정 통계로 쉽게 확보할 수 있으나,</w:t>
      </w:r>
      <w:r w:rsidRPr="007514D2">
        <w:rPr>
          <w:sz w:val="20"/>
          <w:szCs w:val="20"/>
        </w:rPr>
        <w:br/>
        <w:t>생활권이나 실제 건축물 분포와의 불일치로 인해 공간 해석의 정확도가 떨어짐 (선행연구 2, p.495).</w:t>
      </w:r>
    </w:p>
    <w:p w14:paraId="310C7D2B" w14:textId="3E69A155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집계구 단위는 인구·주택총조사에서 제공하는 최소 행정단위로,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주택 노후도, 인구밀도, 가구구성 등 미시적 변수를 세밀하게 반영할 수 있어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공간회귀(GWR)나 머신러닝 기반 예측에 가장 자주 사용됨 (선행연구 2, p.497; 선행연구 14, p.8–9).</w:t>
      </w:r>
    </w:p>
    <w:p w14:paraId="472AB163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필지 단위는 건축물·토지 특성(건축연도, 접도율, 경사도 등)을 직접 반영할 수 있으며,</w:t>
      </w:r>
      <w:r w:rsidRPr="007514D2">
        <w:rPr>
          <w:sz w:val="20"/>
          <w:szCs w:val="20"/>
        </w:rPr>
        <w:br/>
        <w:t>공주시 등 일부 지역에서는 현장조사 데이터와 결합해 확정 빈집을 종속변수로 사용한 사례도 있음 (선행연구 4, p.7–8).</w:t>
      </w:r>
    </w:p>
    <w:p w14:paraId="4BE409D7" w14:textId="71AA630A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격자(50m, 100m 등) 단위는 행정경계에 구애받지 않고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도시·농촌 간 공간 패턴을 표준화해 비교할 수 있어,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도시 쇠퇴나 빈집 밀집도(Hotspot) 분석에 적합함 (선행연구 3, p.135–145).</w:t>
      </w:r>
    </w:p>
    <w:p w14:paraId="065A6602" w14:textId="7D51FFAD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종합적으로, 선행연구들은 공간 단위가 작아질수록 설명력이 높아지는 경향을 보였으며,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세밀한 공간 패턴 분석이 가능해지는 반면, 데이터 병합 및 연산량은 증가하는 것으로 나타남 (선행연구 2, p.497).</w:t>
      </w:r>
    </w:p>
    <w:p w14:paraId="55081997" w14:textId="7AF0945B" w:rsidR="007514D2" w:rsidRPr="007514D2" w:rsidRDefault="007514D2" w:rsidP="007514D2">
      <w:pPr>
        <w:rPr>
          <w:sz w:val="20"/>
          <w:szCs w:val="20"/>
        </w:rPr>
      </w:pPr>
    </w:p>
    <w:p w14:paraId="32CA9EE8" w14:textId="77777777" w:rsidR="007514D2" w:rsidRPr="007514D2" w:rsidRDefault="007514D2" w:rsidP="007514D2">
      <w:pPr>
        <w:rPr>
          <w:b/>
          <w:bCs/>
          <w:sz w:val="20"/>
          <w:szCs w:val="20"/>
        </w:rPr>
      </w:pPr>
      <w:r w:rsidRPr="007514D2">
        <w:rPr>
          <w:b/>
          <w:bCs/>
          <w:sz w:val="20"/>
          <w:szCs w:val="20"/>
        </w:rPr>
        <w:t>4.2 데이터 출처 및 주요 변수</w:t>
      </w:r>
    </w:p>
    <w:p w14:paraId="223EF716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빈집 예측 관련 연구들은 주로 인구·주택·건축물·경제활동·에너지 사용량·현장조사 등</w:t>
      </w:r>
      <w:r w:rsidRPr="007514D2">
        <w:rPr>
          <w:sz w:val="20"/>
          <w:szCs w:val="20"/>
        </w:rPr>
        <w:br/>
        <w:t>다원적 출처의 데이터를 결합하여 분석모델을 구성함.</w:t>
      </w:r>
    </w:p>
    <w:p w14:paraId="6499C16F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인구·주택 데이터</w:t>
      </w:r>
    </w:p>
    <w:p w14:paraId="799EB33C" w14:textId="77777777" w:rsidR="007514D2" w:rsidRPr="007514D2" w:rsidRDefault="007514D2" w:rsidP="007514D2">
      <w:pPr>
        <w:numPr>
          <w:ilvl w:val="0"/>
          <w:numId w:val="27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통계청 인구주택총조사: 인구밀도, 고령인구비율, 1인가구비율, 주택유형비율 등 (선행연구 5, p.4; 선행연구 13, p.10–12).</w:t>
      </w:r>
    </w:p>
    <w:p w14:paraId="584F04EC" w14:textId="77777777" w:rsidR="007514D2" w:rsidRPr="007514D2" w:rsidRDefault="007514D2" w:rsidP="007514D2">
      <w:pPr>
        <w:numPr>
          <w:ilvl w:val="0"/>
          <w:numId w:val="27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SGIS 공간정보: 인구 이동률, 고령화지수, 통근·통학 흐름 등 (선행연구 4, p.7–8).</w:t>
      </w:r>
    </w:p>
    <w:p w14:paraId="6A7CC2F3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lastRenderedPageBreak/>
        <w:t>• 건축물·토지 데이터</w:t>
      </w:r>
    </w:p>
    <w:p w14:paraId="4F4FCFB9" w14:textId="77777777" w:rsidR="007514D2" w:rsidRPr="007514D2" w:rsidRDefault="007514D2" w:rsidP="007514D2">
      <w:pPr>
        <w:numPr>
          <w:ilvl w:val="0"/>
          <w:numId w:val="28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건축물대장: 건축연도, 연면적, 용도, 층수, 노후도 등 (선행연구 12, p.6–8).</w:t>
      </w:r>
    </w:p>
    <w:p w14:paraId="43E0D82E" w14:textId="77777777" w:rsidR="007514D2" w:rsidRPr="007514D2" w:rsidRDefault="007514D2" w:rsidP="007514D2">
      <w:pPr>
        <w:numPr>
          <w:ilvl w:val="0"/>
          <w:numId w:val="28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토지대장·공시지가: 접도율, 부정형 필지 여부, 경사도 등 물리적 입지 변수 (선행연구 4, p.8; 선행연구 3, p.143).</w:t>
      </w:r>
    </w:p>
    <w:p w14:paraId="23D22CBD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에너지 사용량 데이터</w:t>
      </w:r>
    </w:p>
    <w:p w14:paraId="510B01D6" w14:textId="77777777" w:rsidR="007514D2" w:rsidRPr="007514D2" w:rsidRDefault="007514D2" w:rsidP="007514D2">
      <w:pPr>
        <w:numPr>
          <w:ilvl w:val="0"/>
          <w:numId w:val="29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전기사용량: 월평균 20kWh 미만 기준으로 ‘빈집 추정’ 정의 (선행연구 15, p.5–6).</w:t>
      </w:r>
    </w:p>
    <w:p w14:paraId="2E524AE8" w14:textId="77777777" w:rsidR="007514D2" w:rsidRPr="007514D2" w:rsidRDefault="007514D2" w:rsidP="007514D2">
      <w:pPr>
        <w:numPr>
          <w:ilvl w:val="0"/>
          <w:numId w:val="29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상수도·가스 사용량: 장기 단수 또는 미사용 구간을 빈집 발생 가능성으로 해석 (선행연구 7, p.39–40).</w:t>
      </w:r>
    </w:p>
    <w:p w14:paraId="261069CB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사회·경제 데이터</w:t>
      </w:r>
    </w:p>
    <w:p w14:paraId="5EB75D79" w14:textId="77777777" w:rsidR="007514D2" w:rsidRPr="007514D2" w:rsidRDefault="007514D2" w:rsidP="007514D2">
      <w:pPr>
        <w:numPr>
          <w:ilvl w:val="0"/>
          <w:numId w:val="30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재정자립도, 사업체 수 변화율, 소득수준, 고령화율, 인구 순이동률 등 (선행연구 13, p.10–18; 선행연구 17, p.56).</w:t>
      </w:r>
    </w:p>
    <w:p w14:paraId="3B89C4CC" w14:textId="77777777" w:rsidR="007514D2" w:rsidRPr="007514D2" w:rsidRDefault="007514D2" w:rsidP="007514D2">
      <w:pPr>
        <w:numPr>
          <w:ilvl w:val="0"/>
          <w:numId w:val="30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기초생활수급자 비율, 실업률, 주택보급률, 신규주택비율 등 (선행연구 4, p.12; 선행연구 9, p.13).</w:t>
      </w:r>
    </w:p>
    <w:p w14:paraId="2F4F97C8" w14:textId="77777777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현장조사 및 행정정보</w:t>
      </w:r>
    </w:p>
    <w:p w14:paraId="1B7EAD0C" w14:textId="77777777" w:rsidR="007514D2" w:rsidRPr="007514D2" w:rsidRDefault="007514D2" w:rsidP="007514D2">
      <w:pPr>
        <w:numPr>
          <w:ilvl w:val="0"/>
          <w:numId w:val="31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지자체 실태조사: 빈집 여부(1~4등급), 파손율, 활용 가능성 등 세부 등급 부여 (선행연구 8, p.39–42).</w:t>
      </w:r>
    </w:p>
    <w:p w14:paraId="65C17395" w14:textId="77777777" w:rsidR="007514D2" w:rsidRPr="007514D2" w:rsidRDefault="007514D2" w:rsidP="007514D2">
      <w:pPr>
        <w:numPr>
          <w:ilvl w:val="0"/>
          <w:numId w:val="31"/>
        </w:numPr>
        <w:tabs>
          <w:tab w:val="clear" w:pos="720"/>
          <w:tab w:val="num" w:pos="1160"/>
        </w:tabs>
        <w:ind w:leftChars="364" w:left="1161"/>
        <w:rPr>
          <w:sz w:val="20"/>
          <w:szCs w:val="20"/>
        </w:rPr>
      </w:pPr>
      <w:r w:rsidRPr="007514D2">
        <w:rPr>
          <w:sz w:val="20"/>
          <w:szCs w:val="20"/>
        </w:rPr>
        <w:t>행정조사 기반: 폐가·공가 구분, 소유자 불명 빈집, 상속 포기 사례 등 (선행연구 10, p.13–14).</w:t>
      </w:r>
    </w:p>
    <w:p w14:paraId="497C0D3F" w14:textId="3AD686E6" w:rsidR="007514D2" w:rsidRPr="007514D2" w:rsidRDefault="007514D2" w:rsidP="007514D2">
      <w:pPr>
        <w:ind w:leftChars="200" w:left="440"/>
        <w:rPr>
          <w:sz w:val="20"/>
          <w:szCs w:val="20"/>
        </w:rPr>
      </w:pPr>
      <w:r w:rsidRPr="007514D2">
        <w:rPr>
          <w:sz w:val="20"/>
          <w:szCs w:val="20"/>
        </w:rPr>
        <w:t>• 선행연구 대부분은 공공데이터를 중심으로 분석했으나,</w:t>
      </w:r>
      <w:r w:rsidR="00281AF2">
        <w:rPr>
          <w:rFonts w:hint="eastAsia"/>
          <w:sz w:val="20"/>
          <w:szCs w:val="20"/>
        </w:rPr>
        <w:t xml:space="preserve"> </w:t>
      </w:r>
      <w:r w:rsidRPr="007514D2">
        <w:rPr>
          <w:sz w:val="20"/>
          <w:szCs w:val="20"/>
        </w:rPr>
        <w:t>일부는 현장조사나 행정정보(부동산원, 지자체 DB)를 결합해 예측 정확도를 향상시켰음 (선행연구 4, p.7–8; 선행연구 8, p.39–42).</w:t>
      </w:r>
    </w:p>
    <w:p w14:paraId="7625D2F3" w14:textId="77777777" w:rsidR="007514D2" w:rsidRDefault="007514D2" w:rsidP="008A679A">
      <w:pPr>
        <w:rPr>
          <w:sz w:val="18"/>
          <w:szCs w:val="18"/>
        </w:rPr>
      </w:pPr>
    </w:p>
    <w:p w14:paraId="20839334" w14:textId="55CCB290" w:rsidR="007514D2" w:rsidRDefault="007514D2" w:rsidP="008A679A">
      <w:pPr>
        <w:rPr>
          <w:b/>
          <w:bCs/>
          <w:sz w:val="18"/>
          <w:szCs w:val="18"/>
        </w:rPr>
      </w:pPr>
      <w:r w:rsidRPr="007514D2">
        <w:rPr>
          <w:b/>
          <w:bCs/>
          <w:sz w:val="18"/>
          <w:szCs w:val="18"/>
        </w:rPr>
        <w:t>4.3 분석단위별 특징 및 적용된 분석기법</w:t>
      </w:r>
    </w:p>
    <w:p w14:paraId="646E5FDB" w14:textId="77777777" w:rsidR="007514D2" w:rsidRDefault="007514D2" w:rsidP="008A679A">
      <w:pPr>
        <w:rPr>
          <w:b/>
          <w:bCs/>
          <w:sz w:val="18"/>
          <w:szCs w:val="18"/>
        </w:rPr>
      </w:pPr>
    </w:p>
    <w:tbl>
      <w:tblPr>
        <w:tblW w:w="0" w:type="auto"/>
        <w:tblCellSpacing w:w="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1647"/>
        <w:gridCol w:w="2022"/>
        <w:gridCol w:w="1500"/>
        <w:gridCol w:w="2053"/>
        <w:gridCol w:w="1104"/>
      </w:tblGrid>
      <w:tr w:rsidR="007514D2" w:rsidRPr="007514D2" w14:paraId="611AE610" w14:textId="77777777" w:rsidTr="007514D2">
        <w:trPr>
          <w:tblHeader/>
          <w:tblCellSpacing w:w="15" w:type="dxa"/>
        </w:trPr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15DEF62F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분석단위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259731C2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주요 목적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345C9A4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장점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5F981FA3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한계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6A029BB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선행연구에서 사용된 분석기법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011D6E3E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주요 사례</w:t>
            </w:r>
          </w:p>
        </w:tc>
      </w:tr>
      <w:tr w:rsidR="007514D2" w:rsidRPr="007514D2" w14:paraId="619F02B0" w14:textId="77777777" w:rsidTr="007514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8CDBA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시군구</w:t>
            </w:r>
          </w:p>
        </w:tc>
        <w:tc>
          <w:tcPr>
            <w:tcW w:w="0" w:type="auto"/>
            <w:vAlign w:val="center"/>
            <w:hideMark/>
          </w:tcPr>
          <w:p w14:paraId="66F93CA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광역 비교, 구조적 요인 분석</w:t>
            </w:r>
          </w:p>
        </w:tc>
        <w:tc>
          <w:tcPr>
            <w:tcW w:w="0" w:type="auto"/>
            <w:vAlign w:val="center"/>
            <w:hideMark/>
          </w:tcPr>
          <w:p w14:paraId="0299861A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인구·경제변수 중심 거시적 분석</w:t>
            </w:r>
          </w:p>
        </w:tc>
        <w:tc>
          <w:tcPr>
            <w:tcW w:w="0" w:type="auto"/>
            <w:vAlign w:val="center"/>
            <w:hideMark/>
          </w:tcPr>
          <w:p w14:paraId="56BA5156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세부 공간패턴 반영 한계</w:t>
            </w:r>
          </w:p>
        </w:tc>
        <w:tc>
          <w:tcPr>
            <w:tcW w:w="0" w:type="auto"/>
            <w:vAlign w:val="center"/>
            <w:hideMark/>
          </w:tcPr>
          <w:p w14:paraId="44CF2B6F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공간회귀(SAR, SEM), 시공간패널</w:t>
            </w:r>
          </w:p>
        </w:tc>
        <w:tc>
          <w:tcPr>
            <w:tcW w:w="0" w:type="auto"/>
            <w:vAlign w:val="center"/>
            <w:hideMark/>
          </w:tcPr>
          <w:p w14:paraId="5AC20DF9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 5, 11, 17</w:t>
            </w:r>
          </w:p>
        </w:tc>
      </w:tr>
      <w:tr w:rsidR="007514D2" w:rsidRPr="007514D2" w14:paraId="10C54D6C" w14:textId="77777777" w:rsidTr="007514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371618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행정동</w:t>
            </w:r>
          </w:p>
        </w:tc>
        <w:tc>
          <w:tcPr>
            <w:tcW w:w="0" w:type="auto"/>
            <w:vAlign w:val="center"/>
            <w:hideMark/>
          </w:tcPr>
          <w:p w14:paraId="58576FBB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지역 수준 분석</w:t>
            </w:r>
          </w:p>
        </w:tc>
        <w:tc>
          <w:tcPr>
            <w:tcW w:w="0" w:type="auto"/>
            <w:vAlign w:val="center"/>
            <w:hideMark/>
          </w:tcPr>
          <w:p w14:paraId="2D66510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사회경제 변수 확보 용이</w:t>
            </w:r>
          </w:p>
        </w:tc>
        <w:tc>
          <w:tcPr>
            <w:tcW w:w="0" w:type="auto"/>
            <w:vAlign w:val="center"/>
            <w:hideMark/>
          </w:tcPr>
          <w:p w14:paraId="493FF35B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행정경계와 생활권 불일치</w:t>
            </w:r>
          </w:p>
        </w:tc>
        <w:tc>
          <w:tcPr>
            <w:tcW w:w="0" w:type="auto"/>
            <w:vAlign w:val="center"/>
            <w:hideMark/>
          </w:tcPr>
          <w:p w14:paraId="3567B42A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GWR, OLS</w:t>
            </w:r>
          </w:p>
        </w:tc>
        <w:tc>
          <w:tcPr>
            <w:tcW w:w="0" w:type="auto"/>
            <w:vAlign w:val="center"/>
            <w:hideMark/>
          </w:tcPr>
          <w:p w14:paraId="66777B62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 2</w:t>
            </w:r>
          </w:p>
        </w:tc>
      </w:tr>
      <w:tr w:rsidR="007514D2" w:rsidRPr="007514D2" w14:paraId="07CEA784" w14:textId="77777777" w:rsidTr="007514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37F482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집계구</w:t>
            </w:r>
          </w:p>
        </w:tc>
        <w:tc>
          <w:tcPr>
            <w:tcW w:w="0" w:type="auto"/>
            <w:vAlign w:val="center"/>
            <w:hideMark/>
          </w:tcPr>
          <w:p w14:paraId="09AC1BF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세밀한 공간 분석</w:t>
            </w:r>
          </w:p>
        </w:tc>
        <w:tc>
          <w:tcPr>
            <w:tcW w:w="0" w:type="auto"/>
            <w:vAlign w:val="center"/>
            <w:hideMark/>
          </w:tcPr>
          <w:p w14:paraId="2ABA56A9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인구·주택·노후도 세밀 반영</w:t>
            </w:r>
          </w:p>
        </w:tc>
        <w:tc>
          <w:tcPr>
            <w:tcW w:w="0" w:type="auto"/>
            <w:vAlign w:val="center"/>
            <w:hideMark/>
          </w:tcPr>
          <w:p w14:paraId="499B4924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자료 정합성 보완 필요</w:t>
            </w:r>
          </w:p>
        </w:tc>
        <w:tc>
          <w:tcPr>
            <w:tcW w:w="0" w:type="auto"/>
            <w:vAlign w:val="center"/>
            <w:hideMark/>
          </w:tcPr>
          <w:p w14:paraId="6551C94F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GWR, RandomForest, XGBoost</w:t>
            </w:r>
          </w:p>
        </w:tc>
        <w:tc>
          <w:tcPr>
            <w:tcW w:w="0" w:type="auto"/>
            <w:vAlign w:val="center"/>
            <w:hideMark/>
          </w:tcPr>
          <w:p w14:paraId="0DA4D6BC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 2, 12, 14</w:t>
            </w:r>
          </w:p>
        </w:tc>
      </w:tr>
      <w:tr w:rsidR="007514D2" w:rsidRPr="007514D2" w14:paraId="778908A6" w14:textId="77777777" w:rsidTr="007514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FD35CB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lastRenderedPageBreak/>
              <w:t>필지</w:t>
            </w:r>
          </w:p>
        </w:tc>
        <w:tc>
          <w:tcPr>
            <w:tcW w:w="0" w:type="auto"/>
            <w:vAlign w:val="center"/>
            <w:hideMark/>
          </w:tcPr>
          <w:p w14:paraId="16056120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실제 건물 단위 분석</w:t>
            </w:r>
          </w:p>
        </w:tc>
        <w:tc>
          <w:tcPr>
            <w:tcW w:w="0" w:type="auto"/>
            <w:vAlign w:val="center"/>
            <w:hideMark/>
          </w:tcPr>
          <w:p w14:paraId="676BBAD3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정확도 높음, 현장조사 검증 가능</w:t>
            </w:r>
          </w:p>
        </w:tc>
        <w:tc>
          <w:tcPr>
            <w:tcW w:w="0" w:type="auto"/>
            <w:vAlign w:val="center"/>
            <w:hideMark/>
          </w:tcPr>
          <w:p w14:paraId="2AEB2551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병합·전처리 비용 큼</w:t>
            </w:r>
          </w:p>
        </w:tc>
        <w:tc>
          <w:tcPr>
            <w:tcW w:w="0" w:type="auto"/>
            <w:vAlign w:val="center"/>
            <w:hideMark/>
          </w:tcPr>
          <w:p w14:paraId="1A036726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DecisionTree, XGBoost, SHAP</w:t>
            </w:r>
          </w:p>
        </w:tc>
        <w:tc>
          <w:tcPr>
            <w:tcW w:w="0" w:type="auto"/>
            <w:vAlign w:val="center"/>
            <w:hideMark/>
          </w:tcPr>
          <w:p w14:paraId="0F98E4AA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 4</w:t>
            </w:r>
          </w:p>
        </w:tc>
      </w:tr>
      <w:tr w:rsidR="007514D2" w:rsidRPr="007514D2" w14:paraId="7904ED9E" w14:textId="77777777" w:rsidTr="007514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1DBFAA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격자(50m)</w:t>
            </w:r>
          </w:p>
        </w:tc>
        <w:tc>
          <w:tcPr>
            <w:tcW w:w="0" w:type="auto"/>
            <w:vAlign w:val="center"/>
            <w:hideMark/>
          </w:tcPr>
          <w:p w14:paraId="134EC43D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공간 패턴 시각화</w:t>
            </w:r>
          </w:p>
        </w:tc>
        <w:tc>
          <w:tcPr>
            <w:tcW w:w="0" w:type="auto"/>
            <w:vAlign w:val="center"/>
            <w:hideMark/>
          </w:tcPr>
          <w:p w14:paraId="4FCB05B7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비교 용이, 도시·농촌 통합분석 가능</w:t>
            </w:r>
          </w:p>
        </w:tc>
        <w:tc>
          <w:tcPr>
            <w:tcW w:w="0" w:type="auto"/>
            <w:vAlign w:val="center"/>
            <w:hideMark/>
          </w:tcPr>
          <w:p w14:paraId="3AA7281B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주소기반 좌표 보정 필요</w:t>
            </w:r>
          </w:p>
        </w:tc>
        <w:tc>
          <w:tcPr>
            <w:tcW w:w="0" w:type="auto"/>
            <w:vAlign w:val="center"/>
            <w:hideMark/>
          </w:tcPr>
          <w:p w14:paraId="39BA597E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Kernel Density, Hotspot, Moran’s I</w:t>
            </w:r>
          </w:p>
        </w:tc>
        <w:tc>
          <w:tcPr>
            <w:tcW w:w="0" w:type="auto"/>
            <w:vAlign w:val="center"/>
            <w:hideMark/>
          </w:tcPr>
          <w:p w14:paraId="3D080DC4" w14:textId="77777777" w:rsidR="007514D2" w:rsidRPr="007514D2" w:rsidRDefault="007514D2" w:rsidP="007514D2">
            <w:pPr>
              <w:rPr>
                <w:sz w:val="14"/>
                <w:szCs w:val="14"/>
              </w:rPr>
            </w:pPr>
            <w:r w:rsidRPr="007514D2">
              <w:rPr>
                <w:sz w:val="14"/>
                <w:szCs w:val="14"/>
              </w:rPr>
              <w:t>선행연구 3, 10</w:t>
            </w:r>
          </w:p>
        </w:tc>
      </w:tr>
    </w:tbl>
    <w:p w14:paraId="7E5BBD1F" w14:textId="77777777" w:rsidR="007514D2" w:rsidRDefault="007514D2" w:rsidP="008A679A">
      <w:pPr>
        <w:rPr>
          <w:b/>
          <w:bCs/>
          <w:sz w:val="18"/>
          <w:szCs w:val="18"/>
        </w:rPr>
      </w:pPr>
    </w:p>
    <w:p w14:paraId="3D06A83B" w14:textId="77777777" w:rsidR="00281AF2" w:rsidRPr="00281AF2" w:rsidRDefault="00281AF2" w:rsidP="00281AF2">
      <w:pPr>
        <w:ind w:leftChars="200" w:left="440"/>
        <w:rPr>
          <w:sz w:val="18"/>
          <w:szCs w:val="18"/>
        </w:rPr>
      </w:pPr>
      <w:r w:rsidRPr="00281AF2">
        <w:rPr>
          <w:sz w:val="18"/>
          <w:szCs w:val="18"/>
        </w:rPr>
        <w:t>• 각 분석단위에 따라 선택된 기법이 상이하며,</w:t>
      </w:r>
    </w:p>
    <w:p w14:paraId="4370B4B4" w14:textId="77777777" w:rsidR="00281AF2" w:rsidRPr="00281AF2" w:rsidRDefault="00281AF2" w:rsidP="00281AF2">
      <w:pPr>
        <w:numPr>
          <w:ilvl w:val="0"/>
          <w:numId w:val="32"/>
        </w:numPr>
        <w:tabs>
          <w:tab w:val="clear" w:pos="720"/>
          <w:tab w:val="num" w:pos="1160"/>
        </w:tabs>
        <w:ind w:leftChars="364" w:left="1161"/>
        <w:rPr>
          <w:sz w:val="18"/>
          <w:szCs w:val="18"/>
        </w:rPr>
      </w:pPr>
      <w:r w:rsidRPr="00281AF2">
        <w:rPr>
          <w:sz w:val="18"/>
          <w:szCs w:val="18"/>
        </w:rPr>
        <w:t>시군구 단위는 광역적 상관성 분석에 Spatial Lag/Spatial Error Model,</w:t>
      </w:r>
    </w:p>
    <w:p w14:paraId="55D12BFD" w14:textId="77777777" w:rsidR="00281AF2" w:rsidRPr="00281AF2" w:rsidRDefault="00281AF2" w:rsidP="00281AF2">
      <w:pPr>
        <w:numPr>
          <w:ilvl w:val="0"/>
          <w:numId w:val="32"/>
        </w:numPr>
        <w:tabs>
          <w:tab w:val="clear" w:pos="720"/>
          <w:tab w:val="num" w:pos="1160"/>
        </w:tabs>
        <w:ind w:leftChars="364" w:left="1161"/>
        <w:rPr>
          <w:sz w:val="18"/>
          <w:szCs w:val="18"/>
        </w:rPr>
      </w:pPr>
      <w:r w:rsidRPr="00281AF2">
        <w:rPr>
          <w:sz w:val="18"/>
          <w:szCs w:val="18"/>
        </w:rPr>
        <w:t>집계구 단위는 미시적 영향요인 파악에 GWR 또는 머신러닝 모델,</w:t>
      </w:r>
    </w:p>
    <w:p w14:paraId="54917781" w14:textId="77777777" w:rsidR="00281AF2" w:rsidRPr="00281AF2" w:rsidRDefault="00281AF2" w:rsidP="00281AF2">
      <w:pPr>
        <w:numPr>
          <w:ilvl w:val="0"/>
          <w:numId w:val="32"/>
        </w:numPr>
        <w:tabs>
          <w:tab w:val="clear" w:pos="720"/>
          <w:tab w:val="num" w:pos="1160"/>
        </w:tabs>
        <w:ind w:leftChars="364" w:left="1161"/>
        <w:rPr>
          <w:sz w:val="18"/>
          <w:szCs w:val="18"/>
        </w:rPr>
      </w:pPr>
      <w:r w:rsidRPr="00281AF2">
        <w:rPr>
          <w:sz w:val="18"/>
          <w:szCs w:val="18"/>
        </w:rPr>
        <w:t>필지·격자 단위는 공간적 확산 패턴 분석에 GIS·핫스팟 분석이 활용됨.</w:t>
      </w:r>
    </w:p>
    <w:p w14:paraId="6BA26D99" w14:textId="4A564950" w:rsidR="00281AF2" w:rsidRPr="00281AF2" w:rsidRDefault="00281AF2" w:rsidP="00281AF2">
      <w:pPr>
        <w:ind w:leftChars="200" w:left="440"/>
        <w:rPr>
          <w:sz w:val="18"/>
          <w:szCs w:val="18"/>
        </w:rPr>
      </w:pPr>
      <w:r w:rsidRPr="00281AF2">
        <w:rPr>
          <w:sz w:val="18"/>
          <w:szCs w:val="18"/>
        </w:rPr>
        <w:t>• 특히 머신러닝 기반 연구(선행연구 4, 12, 15)는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물리·사회·경제 변수를 결합해 예측 정확도를 크게 향상시켰으며,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변수 중요도 분석(SHAP, Feature Importance)을 통해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정책적 해석 가능성을 높였음.</w:t>
      </w:r>
    </w:p>
    <w:p w14:paraId="51536956" w14:textId="22DB6FB5" w:rsidR="00281AF2" w:rsidRPr="00281AF2" w:rsidRDefault="00281AF2" w:rsidP="00281AF2">
      <w:pPr>
        <w:ind w:leftChars="200" w:left="440"/>
        <w:rPr>
          <w:sz w:val="18"/>
          <w:szCs w:val="18"/>
        </w:rPr>
      </w:pPr>
      <w:r w:rsidRPr="00281AF2">
        <w:rPr>
          <w:sz w:val="18"/>
          <w:szCs w:val="18"/>
        </w:rPr>
        <w:t>• 본 프로젝트에서는 데이터 접근성이 충분하므로,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분석단위별 데이터 결합의 제약은 크지 않으며,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다만 선행연구들이 제시한 단위별 특성과 기법의 적합성을 참고해</w:t>
      </w:r>
      <w:r>
        <w:rPr>
          <w:rFonts w:hint="eastAsia"/>
          <w:sz w:val="18"/>
          <w:szCs w:val="18"/>
        </w:rPr>
        <w:t xml:space="preserve"> </w:t>
      </w:r>
      <w:r w:rsidRPr="00281AF2">
        <w:rPr>
          <w:sz w:val="18"/>
          <w:szCs w:val="18"/>
        </w:rPr>
        <w:t>집계구 중심의 공간분석 프레임을 우선 검토할 예정임.</w:t>
      </w:r>
    </w:p>
    <w:p w14:paraId="7A48A181" w14:textId="77777777" w:rsidR="00281AF2" w:rsidRDefault="00281AF2" w:rsidP="008A679A">
      <w:pPr>
        <w:rPr>
          <w:b/>
          <w:bCs/>
          <w:sz w:val="18"/>
          <w:szCs w:val="18"/>
        </w:rPr>
      </w:pPr>
    </w:p>
    <w:p w14:paraId="6E3E40FD" w14:textId="77777777" w:rsidR="00281AF2" w:rsidRDefault="00281AF2" w:rsidP="008A679A">
      <w:pPr>
        <w:rPr>
          <w:b/>
          <w:bCs/>
          <w:sz w:val="18"/>
          <w:szCs w:val="18"/>
        </w:rPr>
      </w:pPr>
    </w:p>
    <w:p w14:paraId="501EA443" w14:textId="77777777" w:rsidR="00281AF2" w:rsidRDefault="00281AF2" w:rsidP="008A679A">
      <w:pPr>
        <w:rPr>
          <w:b/>
          <w:bCs/>
          <w:sz w:val="18"/>
          <w:szCs w:val="18"/>
        </w:rPr>
      </w:pPr>
    </w:p>
    <w:p w14:paraId="7010CA7F" w14:textId="77777777" w:rsidR="00281AF2" w:rsidRPr="00281AF2" w:rsidRDefault="00281AF2" w:rsidP="00281AF2">
      <w:pPr>
        <w:rPr>
          <w:b/>
          <w:bCs/>
          <w:sz w:val="24"/>
        </w:rPr>
      </w:pPr>
      <w:r w:rsidRPr="00281AF2">
        <w:rPr>
          <w:b/>
          <w:bCs/>
          <w:sz w:val="24"/>
        </w:rPr>
        <w:t>5. 주요 분석기법 비교</w:t>
      </w:r>
    </w:p>
    <w:p w14:paraId="4F3559C7" w14:textId="77777777" w:rsidR="00281AF2" w:rsidRPr="00281AF2" w:rsidRDefault="00281AF2" w:rsidP="00281AF2">
      <w:pPr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5.1 통계모형</w:t>
      </w:r>
    </w:p>
    <w:p w14:paraId="4CC21A02" w14:textId="49BE4B7F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통계모형은 빈집 발생 요인을 정량적으로 파악하고,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 간 인과적 관계를 해석하기 위한 전통적 접근으로 가장 널리 사용됨.</w:t>
      </w:r>
    </w:p>
    <w:p w14:paraId="4D6C9C16" w14:textId="4E43A78B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OLS(Ordinary Least Squares) 회귀는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전체 변수의 평균적 효과를 파악하는 데 활용되며,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인구·사회·경제 변수 중심의 구조적 영향 분석에 적합 (선행연구 3, p.135–145; 선행연구 17, p.59).</w:t>
      </w:r>
    </w:p>
    <w:p w14:paraId="5AACDE45" w14:textId="63B6F285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GWR(Geographically Weighted Regression)은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지역별 공간적 이질성을 고려하여,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변수의 영향력이 지역마다 다르게 나타나는 특성을 분석할 수 있음 (선행연구 2, p.496; 선행연구 14, p.9–11).</w:t>
      </w:r>
    </w:p>
    <w:p w14:paraId="34D7D495" w14:textId="67247224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Spatial Lag / Spatial Error Model(공간회귀모형)은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인접 지역 간의 공간적 상관성을 고려하여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빈집의 “전이 효과(spillover effect)”를 정량적으로 파악하는 데 활용됨 (선행연구 5, p.94–97; 선행연구 13, p.13–15).</w:t>
      </w:r>
    </w:p>
    <w:p w14:paraId="570337F6" w14:textId="193640C0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이러한 통계모형은 변수 간 방향성과 영향 정도를 명확히 설명할 수 있으나,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비선형 관계</w:t>
      </w:r>
      <w:r w:rsidRPr="00281AF2">
        <w:rPr>
          <w:sz w:val="20"/>
          <w:szCs w:val="20"/>
        </w:rPr>
        <w:lastRenderedPageBreak/>
        <w:t>나 다차원 변수 구조를 반영하는 데에는 한계가 있음.</w:t>
      </w:r>
    </w:p>
    <w:p w14:paraId="3186BE6C" w14:textId="1506BAA8" w:rsidR="00281AF2" w:rsidRPr="00281AF2" w:rsidRDefault="00281AF2" w:rsidP="00281AF2">
      <w:pPr>
        <w:rPr>
          <w:sz w:val="20"/>
          <w:szCs w:val="20"/>
        </w:rPr>
      </w:pPr>
    </w:p>
    <w:p w14:paraId="1943F7D9" w14:textId="77777777" w:rsidR="00281AF2" w:rsidRPr="00281AF2" w:rsidRDefault="00281AF2" w:rsidP="00281AF2">
      <w:pPr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5.2 공간·시공간모형</w:t>
      </w:r>
    </w:p>
    <w:p w14:paraId="5F8805AA" w14:textId="3C8F99BD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공간모형은 공간적 자기상관성 및 지역 간 연계성을 평가하는 데 사용되며,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빈집의 군집적 분포나 공간적 확산 패턴을 정량적으로 검증할 수 있음.</w:t>
      </w:r>
    </w:p>
    <w:p w14:paraId="004E2FB1" w14:textId="4DB2D8C6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Moran’s I는 전역적 공간자기상관성을 측정하여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빈집 비율이 인접 지역 간 유사하게 분포하는지를 파악하는 데 활용됨 (선행연구 5, p.96; 선행연구 10, p.53–54).</w:t>
      </w:r>
    </w:p>
    <w:p w14:paraId="5288401D" w14:textId="7E2CA9FE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LISA(Local Indicators of Spatial Association)는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지역 단위에서의 군집(HH, LL) 또는 이상치(HL, LH) 패턴을 식별하는 데 유용함 (선행연구 5, p.96; 선행연구 10, p.55).</w:t>
      </w:r>
    </w:p>
    <w:p w14:paraId="501075D2" w14:textId="5FCEEE2E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시공간 베이즈모형은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시간적 변화와 공간적 상호작용을 동시에 고려해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과거의 빈집 비율이 현재 및 미래에 미치는 누적효과를 분석할 수 있음 (선행연구 11, p.13–15).</w:t>
      </w:r>
    </w:p>
    <w:p w14:paraId="2284E6FC" w14:textId="7417CFB5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이러한 모델들은 빈집의 확산성과 지역 간 상호 의존성을 구조적으로 이해하는 데 유리하며,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중장기 변화 예측이나 도시 쇠퇴 모델링에 활용될 수 있음.</w:t>
      </w:r>
    </w:p>
    <w:p w14:paraId="5F9E2863" w14:textId="3AA98958" w:rsidR="00281AF2" w:rsidRPr="00281AF2" w:rsidRDefault="00281AF2" w:rsidP="00281AF2">
      <w:pPr>
        <w:rPr>
          <w:sz w:val="20"/>
          <w:szCs w:val="20"/>
        </w:rPr>
      </w:pPr>
    </w:p>
    <w:p w14:paraId="51804BCF" w14:textId="77777777" w:rsidR="00281AF2" w:rsidRPr="00281AF2" w:rsidRDefault="00281AF2" w:rsidP="00281AF2">
      <w:pPr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5.3 머신러닝</w:t>
      </w:r>
    </w:p>
    <w:p w14:paraId="41E928FA" w14:textId="15AA57CC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머신러닝 기법은 대규모·비선형 데이터에 적합하며,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 간 복잡한 상호작용을 자동 학습해 예측 정확도를 극대화함.</w:t>
      </w:r>
    </w:p>
    <w:p w14:paraId="28D5E46D" w14:textId="755DABAB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XGBoost(Extreme Gradient Boosting)는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 간 비선형 관계를 효율적으로 반영하고,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높은 예측 정확도(R² 0.95 이상)를 보이는 대표적 알고리즘임 (선행연구 4, p.13; 선행연구 15, p.8–9).</w:t>
      </w:r>
    </w:p>
    <w:p w14:paraId="30A8E8C3" w14:textId="7059E5A4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Random Forest(RF)는 다수의 의사결정나무를 앙상블하여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 간 중요도를 계산하고,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전기사용량 등 주요 요인의 상대적 영향력을 정량화하는 데 활용됨 (선행연구 12, p.9–11; 선행연구 15, p.9).</w:t>
      </w:r>
    </w:p>
    <w:p w14:paraId="5AF65F66" w14:textId="37C2C0FC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LightGBM은 연산 효율이 높아 대규모 데이터 학습에 적합하며,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SHAP(Shapley Additive exPlanations) 분석을 통해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각 변수의 기여도를 시각화함 (선행연구 4, p.47–49).</w:t>
      </w:r>
    </w:p>
    <w:p w14:paraId="38B6AEBC" w14:textId="4DB224F1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머신러닝 기반 모델은 통계모형에 비해 설명력보다는 예측력을 중시하지만,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변수 중요도 도출을 통해 정책적 해석 가능성을 동시에 확보할 수 있음.</w:t>
      </w:r>
    </w:p>
    <w:p w14:paraId="535A449A" w14:textId="1DA0BE19" w:rsidR="00281AF2" w:rsidRPr="00281AF2" w:rsidRDefault="00281AF2" w:rsidP="00281AF2">
      <w:pPr>
        <w:rPr>
          <w:sz w:val="20"/>
          <w:szCs w:val="20"/>
        </w:rPr>
      </w:pPr>
    </w:p>
    <w:p w14:paraId="4906ADC6" w14:textId="77777777" w:rsidR="00281AF2" w:rsidRPr="00281AF2" w:rsidRDefault="00281AF2" w:rsidP="00281AF2">
      <w:pPr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5.4 시계열모형</w:t>
      </w:r>
    </w:p>
    <w:p w14:paraId="20455900" w14:textId="212A36B4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시계열모형은 빈집의 장기적 추세와 계절성을 반영하여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시점 간 변화를 예측하는 데 활용됨.</w:t>
      </w:r>
    </w:p>
    <w:p w14:paraId="1F742733" w14:textId="5B093678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lastRenderedPageBreak/>
        <w:t>• ARIMA 및 SARIMA 모델은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월별 전기사용량이나 연도별 빈집비율 데이터를 이용해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단기 및 중기 예측을 수행하는 대표적 방식임 (선행연구 13, p.24–38).</w:t>
      </w:r>
    </w:p>
    <w:p w14:paraId="46108CF8" w14:textId="15749FC2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예측 정확도는 통계모형보다 낮지만,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시계열 데이터의 패턴을 활용해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향후 특정 지역의 빈집 증가 가능성을 조기에 파악할 수 있음.</w:t>
      </w:r>
    </w:p>
    <w:p w14:paraId="03FCDDD7" w14:textId="408CBEEF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이러한 접근은 에너지 기반 데이터나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실태조사 주기가 긴 지역의 보조 예측지표로 유용함.</w:t>
      </w:r>
    </w:p>
    <w:p w14:paraId="16D7291F" w14:textId="6E1B0521" w:rsidR="00281AF2" w:rsidRPr="00281AF2" w:rsidRDefault="00281AF2" w:rsidP="00281AF2">
      <w:pPr>
        <w:rPr>
          <w:sz w:val="20"/>
          <w:szCs w:val="20"/>
        </w:rPr>
      </w:pPr>
    </w:p>
    <w:p w14:paraId="57513D96" w14:textId="77777777" w:rsidR="00281AF2" w:rsidRPr="00281AF2" w:rsidRDefault="00281AF2" w:rsidP="00281AF2">
      <w:pPr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5.5 지수화·유형화 기법</w:t>
      </w:r>
    </w:p>
    <w:p w14:paraId="62B48D97" w14:textId="0B2B1A36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지수화 및 유형화 기법은 빈집의 발생 원인과 상태를 종합 평가해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관리·정비의 우선순위를 설정하는 데 활용됨.</w:t>
      </w:r>
    </w:p>
    <w:p w14:paraId="43A8BB7D" w14:textId="7F5726A7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빈집관리지수(Vacancy Management Index)는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물리적 노후도, 인구감소율, 접근성, 사회경제지표 등을 통합해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정책 대상지의 위험도를 수치화함 (선행연구 3, p.58–61).</w:t>
      </w:r>
    </w:p>
    <w:p w14:paraId="3B2D77E3" w14:textId="380478AF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군집분석(Cluster Analysis)은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지역별 빈집 특성을 유형화하여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‘노후 단독주택 쇠퇴형’, ‘공동주택 과잉공급형’, ‘재정비지연형’ 등으로 구분 (선행연구 9, p.12–14; 선행연구 16, p.5–9).</w:t>
      </w:r>
    </w:p>
    <w:p w14:paraId="5A5D1242" w14:textId="6A1F5D5A" w:rsidR="00281AF2" w:rsidRPr="00281AF2" w:rsidRDefault="00281AF2" w:rsidP="00281AF2">
      <w:pPr>
        <w:ind w:leftChars="200" w:left="440"/>
        <w:rPr>
          <w:sz w:val="20"/>
          <w:szCs w:val="20"/>
        </w:rPr>
      </w:pPr>
      <w:r w:rsidRPr="00281AF2">
        <w:rPr>
          <w:sz w:val="20"/>
          <w:szCs w:val="20"/>
        </w:rPr>
        <w:t>• 이러한 유형화 접근은 단순한 예측이 아닌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“정비·활용 전략” 수립을 위한 실무적 분석으로 확장될 수 있으며,</w:t>
      </w:r>
      <w:r>
        <w:rPr>
          <w:rFonts w:hint="eastAsia"/>
          <w:sz w:val="20"/>
          <w:szCs w:val="20"/>
        </w:rPr>
        <w:t xml:space="preserve"> </w:t>
      </w:r>
      <w:r w:rsidRPr="00281AF2">
        <w:rPr>
          <w:sz w:val="20"/>
          <w:szCs w:val="20"/>
        </w:rPr>
        <w:t>향후 복합지수형 모델(VUI, VMI 등) 설계의 기반이 됨.</w:t>
      </w:r>
    </w:p>
    <w:p w14:paraId="2F648969" w14:textId="77777777" w:rsidR="00281AF2" w:rsidRDefault="00281AF2" w:rsidP="00281AF2">
      <w:pPr>
        <w:rPr>
          <w:b/>
          <w:bCs/>
          <w:sz w:val="20"/>
          <w:szCs w:val="20"/>
        </w:rPr>
      </w:pPr>
    </w:p>
    <w:p w14:paraId="3B524647" w14:textId="6523F46B" w:rsidR="00281AF2" w:rsidRPr="00281AF2" w:rsidRDefault="00281AF2" w:rsidP="00281AF2">
      <w:pPr>
        <w:rPr>
          <w:b/>
          <w:bCs/>
          <w:sz w:val="24"/>
        </w:rPr>
      </w:pPr>
      <w:r w:rsidRPr="00281AF2">
        <w:rPr>
          <w:b/>
          <w:bCs/>
          <w:sz w:val="24"/>
        </w:rPr>
        <w:t>6. 주요 영향요인 종합</w:t>
      </w:r>
    </w:p>
    <w:p w14:paraId="5E5EF898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6.1 인구·사회 요인</w:t>
      </w:r>
    </w:p>
    <w:p w14:paraId="7C73C126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고령인구비율이 높고 인구이동률이 낮을수록 빈집비율 증가(선행연구 5, p.96; 선행연구 11, p.17–18).</w:t>
      </w:r>
      <w:r w:rsidRPr="00281AF2">
        <w:rPr>
          <w:sz w:val="20"/>
          <w:szCs w:val="20"/>
        </w:rPr>
        <w:br/>
        <w:t>• 청년층 유출과 인구감소가 장기적인 도시쇠퇴로 이어짐(선행연구 13, p.16–18).</w:t>
      </w:r>
      <w:r w:rsidRPr="00281AF2">
        <w:rPr>
          <w:sz w:val="20"/>
          <w:szCs w:val="20"/>
        </w:rPr>
        <w:br/>
        <w:t>• 1인가구비율 증가 지역에서 단독·다가구 주택의 빈집 집중 현상 발생(선행연구 14, p.12; 선행연구 16, p.7–9).</w:t>
      </w:r>
      <w:r w:rsidRPr="00281AF2">
        <w:rPr>
          <w:sz w:val="20"/>
          <w:szCs w:val="20"/>
        </w:rPr>
        <w:br/>
        <w:t>• 인구 구조 변화는 빈집의 발생뿐 아니라 지속·확산에도 영향을 미침(선행연구 17, p.60–61).</w:t>
      </w:r>
    </w:p>
    <w:p w14:paraId="7FC5B826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6.2 경제 요인</w:t>
      </w:r>
    </w:p>
    <w:p w14:paraId="5F3698FE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재정자립도와 고용률이 낮은 지역에서 빈집 발생률 상승(선행연구 17, p.60–61).</w:t>
      </w:r>
      <w:r w:rsidRPr="00281AF2">
        <w:rPr>
          <w:sz w:val="20"/>
          <w:szCs w:val="20"/>
        </w:rPr>
        <w:br/>
        <w:t>• 주택가격 변동률이 낮거나 신규공급이 과잉된 지역에서 빈집 증가(선행연구 13, p.16–18; 선행연구 16, p.8–9).</w:t>
      </w:r>
      <w:r w:rsidRPr="00281AF2">
        <w:rPr>
          <w:sz w:val="20"/>
          <w:szCs w:val="20"/>
        </w:rPr>
        <w:br/>
        <w:t>• 비수도권 중소도시는 산업구조 변화로 인한 주택공동화가 빠르게 진행(선행연구 10, p.53–54).</w:t>
      </w:r>
      <w:r w:rsidRPr="00281AF2">
        <w:rPr>
          <w:sz w:val="20"/>
          <w:szCs w:val="20"/>
        </w:rPr>
        <w:br/>
        <w:t>• 지역 경기 침체는 주택 유지·관리 능력 저하로 이어져 빈집 확산을 가속화함.</w:t>
      </w:r>
    </w:p>
    <w:p w14:paraId="4C98269C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lastRenderedPageBreak/>
        <w:t>6.3 물리·환경 요인</w:t>
      </w:r>
    </w:p>
    <w:p w14:paraId="040DFC74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노후주택비율과 건축연한이 긴 지역일수록 빈집비율 높음(선행연구 7, p.27; 선행연구 3, p.143).</w:t>
      </w:r>
      <w:r w:rsidRPr="00281AF2">
        <w:rPr>
          <w:sz w:val="20"/>
          <w:szCs w:val="20"/>
        </w:rPr>
        <w:br/>
        <w:t>• 건축연한·용적률·건축유형이 빈집 발생의 핵심 물리 변수로 작용(선행연구 4, p.12; 선행연구 12, p.12).</w:t>
      </w:r>
      <w:r w:rsidRPr="00281AF2">
        <w:rPr>
          <w:sz w:val="20"/>
          <w:szCs w:val="20"/>
        </w:rPr>
        <w:br/>
        <w:t>• 교통 접근성, 생활 SOC 접근성이 낮은 지역은 주거 선호도 저하(선행연구 4, p.8; 선행연구 10, p.55).</w:t>
      </w:r>
      <w:r w:rsidRPr="00281AF2">
        <w:rPr>
          <w:sz w:val="20"/>
          <w:szCs w:val="20"/>
        </w:rPr>
        <w:br/>
        <w:t>• 경사지나 불규칙 필지 등 입지 제약도 빈집 발생과 관련(선행연구 4, p.12).</w:t>
      </w:r>
    </w:p>
    <w:p w14:paraId="279A9016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6.4 정책·제도 요인</w:t>
      </w:r>
    </w:p>
    <w:p w14:paraId="6F965A54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법률별 정의 차이로 도시·농촌 간 빈집 통계 불일치(선행연구 6, p.74–75).</w:t>
      </w:r>
      <w:r w:rsidRPr="00281AF2">
        <w:rPr>
          <w:sz w:val="20"/>
          <w:szCs w:val="20"/>
        </w:rPr>
        <w:br/>
        <w:t>• 정비사업 지연 지역에서 장기 방치 빈집 집중(선행연구 14, p.13).</w:t>
      </w:r>
      <w:r w:rsidRPr="00281AF2">
        <w:rPr>
          <w:sz w:val="20"/>
          <w:szCs w:val="20"/>
        </w:rPr>
        <w:br/>
        <w:t>• 빈집 철거 시 재산세 중과로 인해 철거 기피 현상 발생(선행연구 6, p.75–76).</w:t>
      </w:r>
      <w:r w:rsidRPr="00281AF2">
        <w:rPr>
          <w:sz w:val="20"/>
          <w:szCs w:val="20"/>
        </w:rPr>
        <w:br/>
        <w:t>• 빈집 관련 법·세제의 복잡성은 관리 효율성을 저하시킴.</w:t>
      </w:r>
    </w:p>
    <w:p w14:paraId="76144D83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6.5 에너지 데이터 요인</w:t>
      </w:r>
    </w:p>
    <w:p w14:paraId="03EE8451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전기사용량과 상수도 사용량은 빈집 여부를 판별할 수 있는 유효한 실측지표(선행연구 15, p.8–9).</w:t>
      </w:r>
      <w:r w:rsidRPr="00281AF2">
        <w:rPr>
          <w:sz w:val="20"/>
          <w:szCs w:val="20"/>
        </w:rPr>
        <w:br/>
        <w:t>• 월평균 전기사용량 20kWh 미만 주택은 실제 빈집일 가능성이 높음(선행연구 7, p.39–40).</w:t>
      </w:r>
      <w:r w:rsidRPr="00281AF2">
        <w:rPr>
          <w:sz w:val="20"/>
          <w:szCs w:val="20"/>
        </w:rPr>
        <w:br/>
        <w:t>• 에너지데이터 기반 예측은 조사 효율을 높이나 단기 공실 구분에는 한계(선행연구 12, p.9–11).</w:t>
      </w:r>
      <w:r w:rsidRPr="00281AF2">
        <w:rPr>
          <w:sz w:val="20"/>
          <w:szCs w:val="20"/>
        </w:rPr>
        <w:br/>
        <w:t>• 물리적·사회적 변수와 병행할 때 예측 정확도 향상 가능.</w:t>
      </w:r>
    </w:p>
    <w:p w14:paraId="7056D64A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6.6 종합</w:t>
      </w:r>
    </w:p>
    <w:p w14:paraId="4E67BDEF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사회적 요인과 물리적 요인이 공통적으로 높은 영향력을 가짐(선행연구 4, p.12; 선행연구 13, p.16–18).</w:t>
      </w:r>
      <w:r w:rsidRPr="00281AF2">
        <w:rPr>
          <w:sz w:val="20"/>
          <w:szCs w:val="20"/>
        </w:rPr>
        <w:br/>
        <w:t>• 고령화·인구이동 감소와 건축노후도는 빈집 발생의 직접 요인으로 작용.</w:t>
      </w:r>
      <w:r w:rsidRPr="00281AF2">
        <w:rPr>
          <w:sz w:val="20"/>
          <w:szCs w:val="20"/>
        </w:rPr>
        <w:br/>
        <w:t>• 경제·정책 요인은 보조적 요인이지만, 지역별 편차를 유발함.</w:t>
      </w:r>
      <w:r w:rsidRPr="00281AF2">
        <w:rPr>
          <w:sz w:val="20"/>
          <w:szCs w:val="20"/>
        </w:rPr>
        <w:br/>
        <w:t>• 향후 모델 설계 시 사회·물리 요인을 중심으로 에너지·정책 변수 결합 필요.</w:t>
      </w:r>
    </w:p>
    <w:p w14:paraId="4A795527" w14:textId="77777777" w:rsidR="00281AF2" w:rsidRPr="00281AF2" w:rsidRDefault="00281AF2" w:rsidP="00281AF2">
      <w:pPr>
        <w:rPr>
          <w:b/>
          <w:bCs/>
          <w:sz w:val="24"/>
        </w:rPr>
      </w:pPr>
      <w:r w:rsidRPr="00281AF2">
        <w:rPr>
          <w:b/>
          <w:bCs/>
          <w:sz w:val="24"/>
        </w:rPr>
        <w:t>7. 빈집 데이터 구축 및 관리 방향</w:t>
      </w:r>
    </w:p>
    <w:p w14:paraId="2BC4A478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7.1 데이터 통합의 필요성</w:t>
      </w:r>
    </w:p>
    <w:p w14:paraId="31E64744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실태조사, 행정데이터, 에너지데이터, 공간데이터를 통합한 다층적 데이터 구축이 필요함(선행연구 8, p.38–39; 선행연구 15, p.5–6).</w:t>
      </w:r>
      <w:r w:rsidRPr="00281AF2">
        <w:rPr>
          <w:sz w:val="20"/>
          <w:szCs w:val="20"/>
        </w:rPr>
        <w:br/>
        <w:t>• 통계청, 국토부, 지자체별로 상이한 조사체계는 데이터 일관성을 저하시킴(선행연구 6, p.74–75).</w:t>
      </w:r>
      <w:r w:rsidRPr="00281AF2">
        <w:rPr>
          <w:sz w:val="20"/>
          <w:szCs w:val="20"/>
        </w:rPr>
        <w:br/>
        <w:t xml:space="preserve">• 행정정보(건축물대장, 인구주택총조사)와 실측정보(전기·수도 사용량)를 연계하면 빈집의 </w:t>
      </w:r>
      <w:r w:rsidRPr="00281AF2">
        <w:rPr>
          <w:sz w:val="20"/>
          <w:szCs w:val="20"/>
        </w:rPr>
        <w:lastRenderedPageBreak/>
        <w:t>식별 정확도 향상 가능(선행연구 12, p.6–8).</w:t>
      </w:r>
      <w:r w:rsidRPr="00281AF2">
        <w:rPr>
          <w:sz w:val="20"/>
          <w:szCs w:val="20"/>
        </w:rPr>
        <w:br/>
        <w:t>• 데이터 통합은 빈집 발생의 시공간적 추세 분석과 정책 모니터링의 기반이 됨.</w:t>
      </w:r>
    </w:p>
    <w:p w14:paraId="6A48D3F7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7.2 GIS 기반 이력관리 및 데이터베이스 구축</w:t>
      </w:r>
    </w:p>
    <w:p w14:paraId="06F8A9E3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GIS 기반의 빈집 이력관리시스템은 빈집의 위치, 등급, 활용 이력을 통합 관리할 수 있음(선행연구 8, p.42–43).</w:t>
      </w:r>
      <w:r w:rsidRPr="00281AF2">
        <w:rPr>
          <w:sz w:val="20"/>
          <w:szCs w:val="20"/>
        </w:rPr>
        <w:br/>
        <w:t>• 위치정보와 물리·사회 변수의 결합을 통해 공간적 군집과 변화 패턴을 시각적으로 파악 가능(선행연구 5, p.9–10).</w:t>
      </w:r>
      <w:r w:rsidRPr="00281AF2">
        <w:rPr>
          <w:sz w:val="20"/>
          <w:szCs w:val="20"/>
        </w:rPr>
        <w:br/>
        <w:t>• 시계열 데이터를 축적하면 빈집의 생성–확산–해소 과정을 추적할 수 있으며, 시공간적 예측모델 학습 데이터로 활용 가능(선행연구 11, p.16–18).</w:t>
      </w:r>
      <w:r w:rsidRPr="00281AF2">
        <w:rPr>
          <w:sz w:val="20"/>
          <w:szCs w:val="20"/>
        </w:rPr>
        <w:br/>
        <w:t>• GIS 기반 관리체계는 지자체 간 데이터 공유 및 정책 의사결정 효율성을 높임.</w:t>
      </w:r>
    </w:p>
    <w:p w14:paraId="0C9A264F" w14:textId="77777777" w:rsidR="00281AF2" w:rsidRPr="00281AF2" w:rsidRDefault="00281AF2" w:rsidP="00281AF2">
      <w:pPr>
        <w:ind w:firstLineChars="100" w:firstLine="200"/>
        <w:rPr>
          <w:b/>
          <w:bCs/>
          <w:sz w:val="20"/>
          <w:szCs w:val="20"/>
        </w:rPr>
      </w:pPr>
      <w:r w:rsidRPr="00281AF2">
        <w:rPr>
          <w:b/>
          <w:bCs/>
          <w:sz w:val="20"/>
          <w:szCs w:val="20"/>
        </w:rPr>
        <w:t>7.3 에너지데이터 기반 자동탐지 및 현장검증 병행체계</w:t>
      </w:r>
    </w:p>
    <w:p w14:paraId="10BC6B0F" w14:textId="77777777" w:rsidR="00281AF2" w:rsidRPr="00281AF2" w:rsidRDefault="00281AF2" w:rsidP="00281AF2">
      <w:pPr>
        <w:ind w:left="800"/>
        <w:rPr>
          <w:sz w:val="20"/>
          <w:szCs w:val="20"/>
        </w:rPr>
      </w:pPr>
      <w:r w:rsidRPr="00281AF2">
        <w:rPr>
          <w:sz w:val="20"/>
          <w:szCs w:val="20"/>
        </w:rPr>
        <w:t>• 전기사용량 및 수도사용량은 현장조사 이전 단계에서 빈집 후보를 자동 식별하는 데 유효함(선행연구 15, p.8–9).</w:t>
      </w:r>
      <w:r w:rsidRPr="00281AF2">
        <w:rPr>
          <w:sz w:val="20"/>
          <w:szCs w:val="20"/>
        </w:rPr>
        <w:br/>
        <w:t>• 월평균 전기사용량 20kWh 미만 주택을 ‘빈집 추정’으로 설정하면 조사 효율성을 높일 수 있음(선행연구 7, p.39–40).</w:t>
      </w:r>
      <w:r w:rsidRPr="00281AF2">
        <w:rPr>
          <w:sz w:val="20"/>
          <w:szCs w:val="20"/>
        </w:rPr>
        <w:br/>
        <w:t>• 자동탐지 결과를 현장조사와 병행하여 검증하면 데이터의 신뢰성과 정책 활용성이 향상됨(선행연구 8, p.40–43).</w:t>
      </w:r>
      <w:r w:rsidRPr="00281AF2">
        <w:rPr>
          <w:sz w:val="20"/>
          <w:szCs w:val="20"/>
        </w:rPr>
        <w:br/>
        <w:t>• 향후에는 에너지데이터 자동탐지–GIS 이력관리–현장검증이 연계된 통합 모니터링 체계 구축이 필요함.</w:t>
      </w:r>
    </w:p>
    <w:p w14:paraId="5C93CC8A" w14:textId="77777777" w:rsidR="00F8250B" w:rsidRPr="00F8250B" w:rsidRDefault="00F8250B" w:rsidP="00F8250B">
      <w:pPr>
        <w:rPr>
          <w:b/>
          <w:bCs/>
          <w:sz w:val="24"/>
        </w:rPr>
      </w:pPr>
      <w:r w:rsidRPr="00F8250B">
        <w:rPr>
          <w:b/>
          <w:bCs/>
          <w:sz w:val="24"/>
        </w:rPr>
        <w:t>8. 정책적 시사점 및 향후 방향</w:t>
      </w:r>
    </w:p>
    <w:p w14:paraId="2D1AA493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8.1 빈집 정의 및 통계체계 일원화</w:t>
      </w:r>
    </w:p>
    <w:p w14:paraId="72285817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법령 간 상이한 빈집 정의(1년 이상 미거주 vs. 조사시점 미거주)는 정책 적용의 혼선을 초래함(선행연구 1, p.278; 선행연구 6, p.74).</w:t>
      </w:r>
      <w:r w:rsidRPr="00F8250B">
        <w:rPr>
          <w:sz w:val="20"/>
          <w:szCs w:val="20"/>
        </w:rPr>
        <w:br/>
        <w:t>• 「빈집 및 소규모주택 정비에 관한 특례법」과 통계청 인구주택총조사의 기준을 통합하여 단일 기준 마련 필요.</w:t>
      </w:r>
      <w:r w:rsidRPr="00F8250B">
        <w:rPr>
          <w:sz w:val="20"/>
          <w:szCs w:val="20"/>
        </w:rPr>
        <w:br/>
        <w:t>• 조사체계 통일과 통계의 순도 확보가 정책 신뢰성 향상에 핵심적임(선행연구 6, p.75).</w:t>
      </w:r>
      <w:r w:rsidRPr="00F8250B">
        <w:rPr>
          <w:sz w:val="20"/>
          <w:szCs w:val="20"/>
        </w:rPr>
        <w:br/>
        <w:t>• 빈집 정의의 명확화는 실태조사·예측모델·정비사업 간의 연계성을 강화함.</w:t>
      </w:r>
    </w:p>
    <w:p w14:paraId="10C86F82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8.2 공간단위(MAUP) 고려한 정밀 예측정책</w:t>
      </w:r>
    </w:p>
    <w:p w14:paraId="746A7928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공간단위 설정(행정동, 집계구, 격자 등)에 따라 분석 결과가 달라지므로(MAUP 문제), 정책 목적에 맞는 단위 선택이 중요함(선행연구 2, p.497).</w:t>
      </w:r>
      <w:r w:rsidRPr="00F8250B">
        <w:rPr>
          <w:sz w:val="20"/>
          <w:szCs w:val="20"/>
        </w:rPr>
        <w:br/>
        <w:t>• 집계구 단위 분석은 미시적 공간특성을 반영해 예측 정확도가 높음(선행연구 14, p.9–11).</w:t>
      </w:r>
      <w:r w:rsidRPr="00F8250B">
        <w:rPr>
          <w:sz w:val="20"/>
          <w:szCs w:val="20"/>
        </w:rPr>
        <w:br/>
        <w:t>• 필지·격자 단위 데이터는 현장 조사 및 정비 대상지 선정의 기초자료로 활용 가능(선행연구 3, p.135–145).</w:t>
      </w:r>
      <w:r w:rsidRPr="00F8250B">
        <w:rPr>
          <w:sz w:val="20"/>
          <w:szCs w:val="20"/>
        </w:rPr>
        <w:br/>
        <w:t xml:space="preserve">• 향후 빈집 관리정책은 단일 통계단위가 아닌 다층적 공간단위 분석체계로 운영되어야 </w:t>
      </w:r>
      <w:r w:rsidRPr="00F8250B">
        <w:rPr>
          <w:sz w:val="20"/>
          <w:szCs w:val="20"/>
        </w:rPr>
        <w:lastRenderedPageBreak/>
        <w:t>함.</w:t>
      </w:r>
    </w:p>
    <w:p w14:paraId="33B6F6CF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8.3 시공간적 확산(전염성) 고려한 광역정책</w:t>
      </w:r>
    </w:p>
    <w:p w14:paraId="0D271FAB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빈집은 인접 지역에 영향을 미치는 공간적 자기상관성을 보이며(선행연구 5, p.8–9), 시공간적 종속성이 강함(선행연구 11, p.16–18).</w:t>
      </w:r>
      <w:r w:rsidRPr="00F8250B">
        <w:rPr>
          <w:sz w:val="20"/>
          <w:szCs w:val="20"/>
        </w:rPr>
        <w:br/>
        <w:t>• 단일 시군구 단위의 대응을 넘어, 권역별·광역적 협력체계 구축이 필요함(선행연구 17, p.68–69).</w:t>
      </w:r>
      <w:r w:rsidRPr="00F8250B">
        <w:rPr>
          <w:sz w:val="20"/>
          <w:szCs w:val="20"/>
        </w:rPr>
        <w:br/>
        <w:t>• 과거 빈집 비율이 현재 빈집 확산에 영향을 미치는 누적효과를 고려한 중장기 모니터링 체계 필요.</w:t>
      </w:r>
      <w:r w:rsidRPr="00F8250B">
        <w:rPr>
          <w:sz w:val="20"/>
          <w:szCs w:val="20"/>
        </w:rPr>
        <w:br/>
        <w:t>• 빈집 문제를 도시쇠퇴의 일부로 보고, 생활권 단위의 통합 대응체계 마련이 바람직함.</w:t>
      </w:r>
    </w:p>
    <w:p w14:paraId="30F6AD00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8.4 지역유형별 맞춤형 관리전략</w:t>
      </w:r>
    </w:p>
    <w:p w14:paraId="0257B697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지역별 빈집 유형에 따라 정책 대응을 차별화해야 함(선행연구 9, p.18–19; 선행연구 16, p.10–12).</w:t>
      </w:r>
      <w:r w:rsidRPr="00F8250B">
        <w:rPr>
          <w:sz w:val="20"/>
          <w:szCs w:val="20"/>
        </w:rPr>
        <w:br/>
        <w:t>• 노후 단독주택 쇠퇴형 지역은 귀농·귀촌 연계형 정비정책, 공동주택 과잉공급형 지역은 공급조절 및 미분양 해소 정책이 효과적.</w:t>
      </w:r>
      <w:r w:rsidRPr="00F8250B">
        <w:rPr>
          <w:sz w:val="20"/>
          <w:szCs w:val="20"/>
        </w:rPr>
        <w:br/>
        <w:t>• 정비사업 지연형 지역은 공공임시활용·문화재생형 활용전략을 병행해야 함.</w:t>
      </w:r>
      <w:r w:rsidRPr="00F8250B">
        <w:rPr>
          <w:sz w:val="20"/>
          <w:szCs w:val="20"/>
        </w:rPr>
        <w:br/>
        <w:t>• 빈집 유형화 결과를 근거로 한 지역 맞춤형 로드맵 수립이 필요함.</w:t>
      </w:r>
    </w:p>
    <w:p w14:paraId="7A046D4F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8.5 머신러닝 기반 행정예측시스템 도입</w:t>
      </w:r>
    </w:p>
    <w:p w14:paraId="16E26139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기존 회귀모델보다 머신러닝(XGBoost, RF 등)이 빈집 예측 정확도가 높음(선행연구 4, p.13; 선행연구 12, p.9–11).</w:t>
      </w:r>
      <w:r w:rsidRPr="00F8250B">
        <w:rPr>
          <w:sz w:val="20"/>
          <w:szCs w:val="20"/>
        </w:rPr>
        <w:br/>
        <w:t>• 행정데이터와 공간정보를 결합한 예측시스템을 구축하면 실시간 정책 의사결정 지원 가능.</w:t>
      </w:r>
      <w:r w:rsidRPr="00F8250B">
        <w:rPr>
          <w:sz w:val="20"/>
          <w:szCs w:val="20"/>
        </w:rPr>
        <w:br/>
        <w:t>• SHAP 기반 변수 중요도 분석을 통해 영향요인 시각화 및 정책 피드백 체계 마련.</w:t>
      </w:r>
      <w:r w:rsidRPr="00F8250B">
        <w:rPr>
          <w:sz w:val="20"/>
          <w:szCs w:val="20"/>
        </w:rPr>
        <w:br/>
        <w:t>• AI 기반 행정모델은 빈집 발생 위험 예측뿐 아니라 정책 효과 모니터링에도 활용 가능.</w:t>
      </w:r>
    </w:p>
    <w:p w14:paraId="05B872F2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8.6 에너지데이터 기반 실시간 모니터링 체계 구축</w:t>
      </w:r>
    </w:p>
    <w:p w14:paraId="101E59FA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전기·수도 사용량 데이터는 빈집 발생의 조기 탐지 지표로 활용 가능(선행연구 15, p.8–9).</w:t>
      </w:r>
      <w:r w:rsidRPr="00F8250B">
        <w:rPr>
          <w:sz w:val="20"/>
          <w:szCs w:val="20"/>
        </w:rPr>
        <w:br/>
        <w:t>• 자동탐지 시스템과 GIS 이력관리시스템을 연계하여 실시간 모니터링 체계 구축 필요(선행연구 8, p.42–43).</w:t>
      </w:r>
      <w:r w:rsidRPr="00F8250B">
        <w:rPr>
          <w:sz w:val="20"/>
          <w:szCs w:val="20"/>
        </w:rPr>
        <w:br/>
        <w:t>• 데이터 기반 빈집 추적은 현장조사 부담을 줄이고, 정책 대응 속도를 향상시킴.</w:t>
      </w:r>
      <w:r w:rsidRPr="00F8250B">
        <w:rPr>
          <w:sz w:val="20"/>
          <w:szCs w:val="20"/>
        </w:rPr>
        <w:br/>
        <w:t>• 향후에는 에너지데이터–행정DB–공간정보를 통합한 국가 단위 빈집관제 시스템 구축이 요구됨.</w:t>
      </w:r>
    </w:p>
    <w:p w14:paraId="776E77CD" w14:textId="77777777" w:rsidR="00F8250B" w:rsidRPr="00F8250B" w:rsidRDefault="00F8250B" w:rsidP="00F8250B">
      <w:pPr>
        <w:ind w:firstLineChars="100" w:firstLine="200"/>
        <w:rPr>
          <w:b/>
          <w:bCs/>
          <w:sz w:val="20"/>
          <w:szCs w:val="20"/>
        </w:rPr>
      </w:pPr>
      <w:r w:rsidRPr="00F8250B">
        <w:rPr>
          <w:b/>
          <w:bCs/>
          <w:sz w:val="20"/>
          <w:szCs w:val="20"/>
        </w:rPr>
        <w:t>8.7 빈집의 활용전략: 커뮤니티·문화공간 전환</w:t>
      </w:r>
    </w:p>
    <w:p w14:paraId="63F6E536" w14:textId="77777777" w:rsidR="00F8250B" w:rsidRPr="00F8250B" w:rsidRDefault="00F8250B" w:rsidP="00F8250B">
      <w:pPr>
        <w:ind w:left="800"/>
        <w:rPr>
          <w:sz w:val="20"/>
          <w:szCs w:val="20"/>
        </w:rPr>
      </w:pPr>
      <w:r w:rsidRPr="00F8250B">
        <w:rPr>
          <w:sz w:val="20"/>
          <w:szCs w:val="20"/>
        </w:rPr>
        <w:t>• 빈집을 단순 철거가 아닌 지역 커뮤니티·문화공간으로 재활용하는 전략이 확산되고 있음(선행연구 1, p.285–286).</w:t>
      </w:r>
      <w:r w:rsidRPr="00F8250B">
        <w:rPr>
          <w:sz w:val="20"/>
          <w:szCs w:val="20"/>
        </w:rPr>
        <w:br/>
      </w:r>
      <w:r w:rsidRPr="00F8250B">
        <w:rPr>
          <w:sz w:val="20"/>
          <w:szCs w:val="20"/>
        </w:rPr>
        <w:lastRenderedPageBreak/>
        <w:t>• 문화재단, 사회적기업, 협동조합 등을 통한 공공·민간 협력형 활용모델 필요(선행연구 6, p.73–77).</w:t>
      </w:r>
      <w:r w:rsidRPr="00F8250B">
        <w:rPr>
          <w:sz w:val="20"/>
          <w:szCs w:val="20"/>
        </w:rPr>
        <w:br/>
        <w:t>• 지역의 사회·문화적 자산으로 전환할 수 있는 리모델링·공공임대형 모델 확대 필요.</w:t>
      </w:r>
      <w:r w:rsidRPr="00F8250B">
        <w:rPr>
          <w:sz w:val="20"/>
          <w:szCs w:val="20"/>
        </w:rPr>
        <w:br/>
        <w:t>• 빈집을 도시재생의 거점으로 활용할 경우, 지역 활성화 및 사회통합 효과 기대 가능.</w:t>
      </w:r>
    </w:p>
    <w:p w14:paraId="70E52261" w14:textId="77777777" w:rsidR="005F6871" w:rsidRPr="005F6871" w:rsidRDefault="005F6871" w:rsidP="005F6871">
      <w:pPr>
        <w:rPr>
          <w:b/>
          <w:bCs/>
          <w:sz w:val="24"/>
        </w:rPr>
      </w:pPr>
      <w:r w:rsidRPr="005F6871">
        <w:rPr>
          <w:b/>
          <w:bCs/>
          <w:sz w:val="24"/>
        </w:rPr>
        <w:t>9. 이번 프로젝트에의 적용 제안</w:t>
      </w:r>
    </w:p>
    <w:p w14:paraId="2164D043" w14:textId="77777777" w:rsidR="005F6871" w:rsidRPr="005F6871" w:rsidRDefault="005F6871" w:rsidP="005F6871">
      <w:pPr>
        <w:ind w:firstLineChars="100" w:firstLine="200"/>
        <w:rPr>
          <w:b/>
          <w:bCs/>
          <w:sz w:val="20"/>
          <w:szCs w:val="20"/>
        </w:rPr>
      </w:pPr>
      <w:r w:rsidRPr="005F6871">
        <w:rPr>
          <w:b/>
          <w:bCs/>
          <w:sz w:val="20"/>
          <w:szCs w:val="20"/>
        </w:rPr>
        <w:t>9.1 예측대상</w:t>
      </w:r>
    </w:p>
    <w:p w14:paraId="33966472" w14:textId="77777777" w:rsidR="005F6871" w:rsidRPr="005F6871" w:rsidRDefault="005F6871" w:rsidP="005F6871">
      <w:pPr>
        <w:ind w:left="800"/>
        <w:rPr>
          <w:sz w:val="20"/>
          <w:szCs w:val="20"/>
        </w:rPr>
      </w:pPr>
      <w:r w:rsidRPr="005F6871">
        <w:rPr>
          <w:sz w:val="20"/>
          <w:szCs w:val="20"/>
        </w:rPr>
        <w:t>• 예측 단위는 집계구(행정통계 최소공간단위)로 설정, 세분화된 공간 특성을 반영(선행연구 2, p.497; 선행연구 14, p.9–11).</w:t>
      </w:r>
      <w:r w:rsidRPr="005F6871">
        <w:rPr>
          <w:sz w:val="20"/>
          <w:szCs w:val="20"/>
        </w:rPr>
        <w:br/>
        <w:t>• 예측 목표는 ‘빈집 비율(%)’의 공간 분포 및 ‘빈집 증감률(전년 대비 변화율)’을 병행 산출하여 시공간적 추세를 분석.</w:t>
      </w:r>
      <w:r w:rsidRPr="005F6871">
        <w:rPr>
          <w:sz w:val="20"/>
          <w:szCs w:val="20"/>
        </w:rPr>
        <w:br/>
        <w:t xml:space="preserve">• 단순 시점 예측이 아닌 </w:t>
      </w:r>
      <w:r w:rsidRPr="005F6871">
        <w:rPr>
          <w:b/>
          <w:bCs/>
          <w:sz w:val="20"/>
          <w:szCs w:val="20"/>
        </w:rPr>
        <w:t>시간·공간 복합 변화 패턴</w:t>
      </w:r>
      <w:r w:rsidRPr="005F6871">
        <w:rPr>
          <w:sz w:val="20"/>
          <w:szCs w:val="20"/>
        </w:rPr>
        <w:t>을 반영한 정밀 예측모형 구축을 지향.</w:t>
      </w:r>
    </w:p>
    <w:p w14:paraId="2B98358B" w14:textId="77777777" w:rsidR="005F6871" w:rsidRPr="005F6871" w:rsidRDefault="005F6871" w:rsidP="005F6871">
      <w:pPr>
        <w:ind w:firstLineChars="100" w:firstLine="200"/>
        <w:rPr>
          <w:b/>
          <w:bCs/>
          <w:sz w:val="20"/>
          <w:szCs w:val="20"/>
        </w:rPr>
      </w:pPr>
      <w:r w:rsidRPr="005F6871">
        <w:rPr>
          <w:b/>
          <w:bCs/>
          <w:sz w:val="20"/>
          <w:szCs w:val="20"/>
        </w:rPr>
        <w:t>9.2 예측기법</w:t>
      </w:r>
    </w:p>
    <w:p w14:paraId="094ADDF5" w14:textId="77777777" w:rsidR="005F6871" w:rsidRPr="005F6871" w:rsidRDefault="005F6871" w:rsidP="005F6871">
      <w:pPr>
        <w:ind w:left="800"/>
        <w:rPr>
          <w:sz w:val="20"/>
          <w:szCs w:val="20"/>
        </w:rPr>
      </w:pPr>
      <w:r w:rsidRPr="005F6871">
        <w:rPr>
          <w:sz w:val="20"/>
          <w:szCs w:val="20"/>
        </w:rPr>
        <w:t>• 공간적 이질성을 반영하기 위해 지리가중회귀(GWR)를 활용, 지역별 영향요인 가중치 산출(선행연구 2, p.496; 선행연구 14, p.9–11).</w:t>
      </w:r>
      <w:r w:rsidRPr="005F6871">
        <w:rPr>
          <w:sz w:val="20"/>
          <w:szCs w:val="20"/>
        </w:rPr>
        <w:br/>
        <w:t>• 비선형·다차원 변수 간 상호작용을 고려하기 위해 XGBoost 기반 머신러닝 예측모형을 병행(선행연구 4, p.13; 선행연구 12, p.9–11).</w:t>
      </w:r>
      <w:r w:rsidRPr="005F6871">
        <w:rPr>
          <w:sz w:val="20"/>
          <w:szCs w:val="20"/>
        </w:rPr>
        <w:br/>
        <w:t>• GWR과 XGBoost를 복합 적용함으로써 “공간적 설명력 + 예측 정확도”를 동시에 확보하는 하이브리드 접근 제안.</w:t>
      </w:r>
      <w:r w:rsidRPr="005F6871">
        <w:rPr>
          <w:sz w:val="20"/>
          <w:szCs w:val="20"/>
        </w:rPr>
        <w:br/>
        <w:t>• 모델 결과의 변수 중요도(SHAP)를 통해 정책적 해석 가능성 강화.</w:t>
      </w:r>
    </w:p>
    <w:p w14:paraId="1831A5EC" w14:textId="77777777" w:rsidR="005F6871" w:rsidRPr="005F6871" w:rsidRDefault="005F6871" w:rsidP="005F6871">
      <w:pPr>
        <w:ind w:firstLineChars="100" w:firstLine="200"/>
        <w:rPr>
          <w:b/>
          <w:bCs/>
          <w:sz w:val="20"/>
          <w:szCs w:val="20"/>
        </w:rPr>
      </w:pPr>
      <w:r w:rsidRPr="005F6871">
        <w:rPr>
          <w:b/>
          <w:bCs/>
          <w:sz w:val="20"/>
          <w:szCs w:val="20"/>
        </w:rPr>
        <w:t>9.3 데이터 구성</w:t>
      </w:r>
    </w:p>
    <w:p w14:paraId="43B6FEC3" w14:textId="77777777" w:rsidR="005F6871" w:rsidRPr="005F6871" w:rsidRDefault="005F6871" w:rsidP="005F6871">
      <w:pPr>
        <w:ind w:left="800"/>
        <w:rPr>
          <w:sz w:val="20"/>
          <w:szCs w:val="20"/>
        </w:rPr>
      </w:pPr>
      <w:r w:rsidRPr="005F6871">
        <w:rPr>
          <w:sz w:val="20"/>
          <w:szCs w:val="20"/>
        </w:rPr>
        <w:t>• 인구·사회 요인: 고령인구비율, 인구이동률, 1인가구비율 등(선행연구 5, p.96; 선행연구 13, p.16–18).</w:t>
      </w:r>
      <w:r w:rsidRPr="005F6871">
        <w:rPr>
          <w:sz w:val="20"/>
          <w:szCs w:val="20"/>
        </w:rPr>
        <w:br/>
        <w:t>• 경제 요인: 재정자립도, 고용률, 주택가격변동률 등(선행연구 13, p.16–18; 선행연구 17, p.60–61).</w:t>
      </w:r>
      <w:r w:rsidRPr="005F6871">
        <w:rPr>
          <w:sz w:val="20"/>
          <w:szCs w:val="20"/>
        </w:rPr>
        <w:br/>
        <w:t>• 물리·환경 요인: 주택 노후도, 건축연한, 경사도, SOC 접근성 등(선행연구 4, p.12; 선행연구 10, p.53–54).</w:t>
      </w:r>
      <w:r w:rsidRPr="005F6871">
        <w:rPr>
          <w:sz w:val="20"/>
          <w:szCs w:val="20"/>
        </w:rPr>
        <w:br/>
        <w:t>• 에너지데이터: 주거용 전기사용량, 상수도 사용량 등 실측지표(선행연구 15, p.8–9).</w:t>
      </w:r>
      <w:r w:rsidRPr="005F6871">
        <w:rPr>
          <w:sz w:val="20"/>
          <w:szCs w:val="20"/>
        </w:rPr>
        <w:br/>
        <w:t>• 행정데이터: 건축물대장, 인구주택총조사, SGIS 공간자료 등 공공데이터 결합형 구축(선행연구 8, p.38–39).</w:t>
      </w:r>
    </w:p>
    <w:p w14:paraId="5E58693D" w14:textId="77777777" w:rsidR="005F6871" w:rsidRPr="005F6871" w:rsidRDefault="005F6871" w:rsidP="005F6871">
      <w:pPr>
        <w:ind w:firstLineChars="100" w:firstLine="200"/>
        <w:rPr>
          <w:b/>
          <w:bCs/>
          <w:sz w:val="20"/>
          <w:szCs w:val="20"/>
        </w:rPr>
      </w:pPr>
      <w:r w:rsidRPr="005F6871">
        <w:rPr>
          <w:b/>
          <w:bCs/>
          <w:sz w:val="20"/>
          <w:szCs w:val="20"/>
        </w:rPr>
        <w:t>9.4 추가 활용: 빈집관리지수(VMI) 개발 기반</w:t>
      </w:r>
    </w:p>
    <w:p w14:paraId="00CA204E" w14:textId="77777777" w:rsidR="005F6871" w:rsidRDefault="005F6871" w:rsidP="005F6871">
      <w:pPr>
        <w:ind w:left="800"/>
        <w:rPr>
          <w:sz w:val="20"/>
          <w:szCs w:val="20"/>
        </w:rPr>
      </w:pPr>
      <w:r w:rsidRPr="005F6871">
        <w:rPr>
          <w:sz w:val="20"/>
          <w:szCs w:val="20"/>
        </w:rPr>
        <w:t xml:space="preserve">• 예측 결과를 토대로 빈집관리지수(Vacancy Management Index, VMI)를 산출하여 </w:t>
      </w:r>
      <w:r w:rsidRPr="005F6871">
        <w:rPr>
          <w:b/>
          <w:bCs/>
          <w:sz w:val="20"/>
          <w:szCs w:val="20"/>
        </w:rPr>
        <w:t>지역별 위험도 평가체계</w:t>
      </w:r>
      <w:r w:rsidRPr="005F6871">
        <w:rPr>
          <w:sz w:val="20"/>
          <w:szCs w:val="20"/>
        </w:rPr>
        <w:t xml:space="preserve"> 마련(선행연구 3, p.58–61).</w:t>
      </w:r>
      <w:r w:rsidRPr="005F6871">
        <w:rPr>
          <w:sz w:val="20"/>
          <w:szCs w:val="20"/>
        </w:rPr>
        <w:br/>
        <w:t xml:space="preserve">• VMI는 빈집비율, 노후도, 인구감소율, 접근성 등 주요 변수를 가중 통합하여 </w:t>
      </w:r>
      <w:r w:rsidRPr="005F6871">
        <w:rPr>
          <w:b/>
          <w:bCs/>
          <w:sz w:val="20"/>
          <w:szCs w:val="20"/>
        </w:rPr>
        <w:t>정비 우선순위</w:t>
      </w:r>
      <w:r w:rsidRPr="005F6871">
        <w:rPr>
          <w:sz w:val="20"/>
          <w:szCs w:val="20"/>
        </w:rPr>
        <w:t>를 제시.</w:t>
      </w:r>
      <w:r w:rsidRPr="005F6871">
        <w:rPr>
          <w:sz w:val="20"/>
          <w:szCs w:val="20"/>
        </w:rPr>
        <w:br/>
      </w:r>
      <w:r w:rsidRPr="005F6871">
        <w:rPr>
          <w:sz w:val="20"/>
          <w:szCs w:val="20"/>
        </w:rPr>
        <w:lastRenderedPageBreak/>
        <w:t xml:space="preserve">• 예측모델(GWR+XGBoost) 결과를 활용해 지수화 모델의 기반 데이터를 제공하고, 향후 </w:t>
      </w:r>
      <w:r w:rsidRPr="005F6871">
        <w:rPr>
          <w:b/>
          <w:bCs/>
          <w:sz w:val="20"/>
          <w:szCs w:val="20"/>
        </w:rPr>
        <w:t>정책판단 자동화 시스템</w:t>
      </w:r>
      <w:r w:rsidRPr="005F6871">
        <w:rPr>
          <w:sz w:val="20"/>
          <w:szCs w:val="20"/>
        </w:rPr>
        <w:t>으로 확장 가능.</w:t>
      </w:r>
      <w:r w:rsidRPr="005F6871">
        <w:rPr>
          <w:sz w:val="20"/>
          <w:szCs w:val="20"/>
        </w:rPr>
        <w:br/>
        <w:t xml:space="preserve">• 궁극적으로 빈집 예측–지수화–관리의 </w:t>
      </w:r>
      <w:r w:rsidRPr="005F6871">
        <w:rPr>
          <w:b/>
          <w:bCs/>
          <w:sz w:val="20"/>
          <w:szCs w:val="20"/>
        </w:rPr>
        <w:t>전주기 데이터 기반 의사결정 체계</w:t>
      </w:r>
      <w:r w:rsidRPr="005F6871">
        <w:rPr>
          <w:sz w:val="20"/>
          <w:szCs w:val="20"/>
        </w:rPr>
        <w:t>를 구축하는 것을 목표로 함.</w:t>
      </w:r>
    </w:p>
    <w:p w14:paraId="76CD1819" w14:textId="77777777" w:rsidR="00B171C6" w:rsidRPr="005F6871" w:rsidRDefault="00B171C6" w:rsidP="005F6871">
      <w:pPr>
        <w:ind w:left="800"/>
        <w:rPr>
          <w:sz w:val="20"/>
          <w:szCs w:val="20"/>
        </w:rPr>
      </w:pPr>
    </w:p>
    <w:p w14:paraId="3E4D8CA1" w14:textId="1A1AEF40" w:rsidR="00281AF2" w:rsidRDefault="00B171C6" w:rsidP="00B171C6">
      <w:pPr>
        <w:rPr>
          <w:b/>
          <w:bCs/>
          <w:szCs w:val="22"/>
        </w:rPr>
      </w:pPr>
      <w:r w:rsidRPr="00B171C6">
        <w:rPr>
          <w:b/>
          <w:bCs/>
          <w:szCs w:val="22"/>
        </w:rPr>
        <w:t>[참고문헌 및 선행연구 목록]</w:t>
      </w:r>
    </w:p>
    <w:p w14:paraId="153715D2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</w:t>
      </w:r>
      <w:r w:rsidRPr="00B171C6">
        <w:rPr>
          <w:bCs/>
          <w:sz w:val="18"/>
          <w:szCs w:val="18"/>
        </w:rPr>
        <w:br/>
        <w:t>이현범·백성준 (2024). 「AHP를 이용한 빈집 발생 요인 분석」. 『도시행정학보』, 274–286쪽.</w:t>
      </w:r>
    </w:p>
    <w:p w14:paraId="7D4CD0A8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2</w:t>
      </w:r>
      <w:r w:rsidRPr="00B171C6">
        <w:rPr>
          <w:bCs/>
          <w:sz w:val="18"/>
          <w:szCs w:val="18"/>
        </w:rPr>
        <w:br/>
        <w:t>설유정 외 (2021). 「공간단위 설정에 따른 빈집 분포 특징」. 『대한지리학회지』, 495–497쪽.</w:t>
      </w:r>
    </w:p>
    <w:p w14:paraId="06EDC627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3</w:t>
      </w:r>
      <w:r w:rsidRPr="00B171C6">
        <w:rPr>
          <w:bCs/>
          <w:sz w:val="18"/>
          <w:szCs w:val="18"/>
        </w:rPr>
        <w:br/>
        <w:t>강미나 외 (2017). 「인구감소시대 빈집 문제 분석을 통한 주택정책 방안 연구」. 국토연구원 연구보고서.</w:t>
      </w:r>
    </w:p>
    <w:p w14:paraId="6AD7893A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4</w:t>
      </w:r>
      <w:r w:rsidRPr="00B171C6">
        <w:rPr>
          <w:bCs/>
          <w:sz w:val="18"/>
          <w:szCs w:val="18"/>
        </w:rPr>
        <w:br/>
        <w:t>정연준·이경환 (2024). 「머신러닝을 활용한 인구감소지역의 빈집 발생 요인 분석 및 추정 모델 개발」. 『한국지역개발학회지』, 3–16쪽.</w:t>
      </w:r>
    </w:p>
    <w:p w14:paraId="69B865B6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5</w:t>
      </w:r>
      <w:r w:rsidRPr="00B171C6">
        <w:rPr>
          <w:bCs/>
          <w:sz w:val="18"/>
          <w:szCs w:val="18"/>
        </w:rPr>
        <w:br/>
        <w:t>정수영·전희정 (2019). 「빈집 증가의 공간적 자기상관성에 대한 탐색적 연구」. 『국토계획』, 89–99쪽.</w:t>
      </w:r>
    </w:p>
    <w:p w14:paraId="6222E9D5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6</w:t>
      </w:r>
      <w:r w:rsidRPr="00B171C6">
        <w:rPr>
          <w:bCs/>
          <w:sz w:val="18"/>
          <w:szCs w:val="18"/>
        </w:rPr>
        <w:br/>
        <w:t>손상락 (2020). 「도시지역의 빈집정비 활성화를 위한 제도 개선방안」. 『한국부동산학회지』, 67–78쪽.</w:t>
      </w:r>
    </w:p>
    <w:p w14:paraId="70716DBD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7</w:t>
      </w:r>
      <w:r w:rsidRPr="00B171C6">
        <w:rPr>
          <w:bCs/>
          <w:sz w:val="18"/>
          <w:szCs w:val="18"/>
        </w:rPr>
        <w:br/>
        <w:t>조정희 외 (2020). 「빈집 발생 요인과 예측에 관한 연구 – 전주시 사례」. 『주거환경연구』, 2–30쪽.</w:t>
      </w:r>
    </w:p>
    <w:p w14:paraId="4A8BD1F0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8</w:t>
      </w:r>
      <w:r w:rsidRPr="00B171C6">
        <w:rPr>
          <w:bCs/>
          <w:sz w:val="18"/>
          <w:szCs w:val="18"/>
        </w:rPr>
        <w:br/>
        <w:t>국토교통부 (2017). 「빈집 실태조사 및 정보시스템 구축 방안 연구」. 한국국토정보공사 용역보고서.</w:t>
      </w:r>
    </w:p>
    <w:p w14:paraId="7101BBC7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9</w:t>
      </w:r>
      <w:r w:rsidRPr="00B171C6">
        <w:rPr>
          <w:bCs/>
          <w:sz w:val="18"/>
          <w:szCs w:val="18"/>
        </w:rPr>
        <w:br/>
        <w:t>한수경 (2018). 「빈집 유형별 특성에 따른 관리 및 활용방안 연구 – 익산시 사례」. 『도시행정학보』, 5–20쪽.</w:t>
      </w:r>
    </w:p>
    <w:p w14:paraId="6A8DA818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10</w:t>
      </w:r>
      <w:r w:rsidRPr="00B171C6">
        <w:rPr>
          <w:bCs/>
          <w:sz w:val="18"/>
          <w:szCs w:val="18"/>
        </w:rPr>
        <w:br/>
        <w:t>김화환 외 (2017). 「빈집 발생 영향요인과 지역적 입지특성 분석」. 『국토연구』, 46–57쪽.</w:t>
      </w:r>
    </w:p>
    <w:p w14:paraId="577682A6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11</w:t>
      </w:r>
      <w:r w:rsidRPr="00B171C6">
        <w:rPr>
          <w:bCs/>
          <w:sz w:val="18"/>
          <w:szCs w:val="18"/>
        </w:rPr>
        <w:br/>
        <w:t>김유현·김동현 (2023). 「시공간 종속성을 고려한 빈집 발생 요인 추정에 관한 연구」. 『지리정보학회지』, 3–20쪽.</w:t>
      </w:r>
    </w:p>
    <w:p w14:paraId="787F03A7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12</w:t>
      </w:r>
      <w:r w:rsidRPr="00B171C6">
        <w:rPr>
          <w:bCs/>
          <w:sz w:val="18"/>
          <w:szCs w:val="18"/>
        </w:rPr>
        <w:br/>
        <w:t>임규건·노종화 (2022). 「인공지능 기반 빈집 추정 및 주요 특성 분석」. 『한국부동산분석학회지』, 2–14쪽.</w:t>
      </w:r>
    </w:p>
    <w:p w14:paraId="3BBC0658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13</w:t>
      </w:r>
      <w:r w:rsidRPr="00B171C6">
        <w:rPr>
          <w:bCs/>
          <w:sz w:val="18"/>
          <w:szCs w:val="18"/>
        </w:rPr>
        <w:br/>
        <w:t>최은영·정우석 (2019). 「인구고령화, 주택시장 및 도시쇠퇴가 빈집 발생에 미치는 영향 분석」. 『도시행정학보』, 3–20쪽.</w:t>
      </w:r>
    </w:p>
    <w:p w14:paraId="374C2E5E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lastRenderedPageBreak/>
        <w:t>선행연구 14</w:t>
      </w:r>
      <w:r w:rsidRPr="00B171C6">
        <w:rPr>
          <w:bCs/>
          <w:sz w:val="18"/>
          <w:szCs w:val="18"/>
        </w:rPr>
        <w:br/>
        <w:t>김경혜 외 (2018). 「서울시 빈집 발생에 영향을 미치는 도시환경 요인 분석」. 『국토계획』, 1–14쪽.</w:t>
      </w:r>
    </w:p>
    <w:p w14:paraId="009BA22C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15</w:t>
      </w:r>
      <w:r w:rsidRPr="00B171C6">
        <w:rPr>
          <w:bCs/>
          <w:sz w:val="18"/>
          <w:szCs w:val="18"/>
        </w:rPr>
        <w:br/>
        <w:t>박재용 외 (2017). 「주거용 전기사용량을 활용한 빈집추정 및 예측에 관한 연구」. 『대한건축학회논문집』, 3–11쪽.</w:t>
      </w:r>
    </w:p>
    <w:p w14:paraId="6DA9132D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16</w:t>
      </w:r>
      <w:r w:rsidRPr="00B171C6">
        <w:rPr>
          <w:bCs/>
          <w:sz w:val="18"/>
          <w:szCs w:val="18"/>
        </w:rPr>
        <w:br/>
        <w:t>유재성 외 (2018). 「지역별 빈집의 유형화 및 특성에 관한 연구 – 부산·울산·경남을 중심으로 –」. 『대한건축학회논문집』, 1–12쪽.</w:t>
      </w:r>
    </w:p>
    <w:p w14:paraId="0A519119" w14:textId="77777777" w:rsidR="00B171C6" w:rsidRPr="00B171C6" w:rsidRDefault="00B171C6" w:rsidP="00B171C6">
      <w:pPr>
        <w:rPr>
          <w:bCs/>
          <w:sz w:val="18"/>
          <w:szCs w:val="18"/>
        </w:rPr>
      </w:pPr>
      <w:r w:rsidRPr="00B171C6">
        <w:rPr>
          <w:b/>
          <w:sz w:val="18"/>
          <w:szCs w:val="18"/>
        </w:rPr>
        <w:t>선행연구 17</w:t>
      </w:r>
      <w:r w:rsidRPr="00B171C6">
        <w:rPr>
          <w:bCs/>
          <w:sz w:val="18"/>
          <w:szCs w:val="18"/>
        </w:rPr>
        <w:br/>
        <w:t>김현중 외 (2018). 「지역적 특성이 빈집 발생에 미친 영향」. 『한국도시지리학회지』, 45–69쪽.</w:t>
      </w:r>
    </w:p>
    <w:p w14:paraId="142C62D7" w14:textId="77777777" w:rsidR="00B171C6" w:rsidRPr="00B171C6" w:rsidRDefault="00B171C6" w:rsidP="00B171C6">
      <w:pPr>
        <w:rPr>
          <w:b/>
          <w:bCs/>
          <w:sz w:val="18"/>
          <w:szCs w:val="18"/>
        </w:rPr>
      </w:pPr>
    </w:p>
    <w:sectPr w:rsidR="00B171C6" w:rsidRPr="00B171C6" w:rsidSect="008A679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7B128" w14:textId="77777777" w:rsidR="00E82868" w:rsidRDefault="00E82868" w:rsidP="00102377">
      <w:pPr>
        <w:spacing w:after="0"/>
      </w:pPr>
      <w:r>
        <w:separator/>
      </w:r>
    </w:p>
  </w:endnote>
  <w:endnote w:type="continuationSeparator" w:id="0">
    <w:p w14:paraId="54B5B3F3" w14:textId="77777777" w:rsidR="00E82868" w:rsidRDefault="00E82868" w:rsidP="001023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A69DF" w14:textId="77777777" w:rsidR="00E82868" w:rsidRDefault="00E82868" w:rsidP="00102377">
      <w:pPr>
        <w:spacing w:after="0"/>
      </w:pPr>
      <w:r>
        <w:separator/>
      </w:r>
    </w:p>
  </w:footnote>
  <w:footnote w:type="continuationSeparator" w:id="0">
    <w:p w14:paraId="40B82AB8" w14:textId="77777777" w:rsidR="00E82868" w:rsidRDefault="00E82868" w:rsidP="0010237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154F5"/>
    <w:multiLevelType w:val="multilevel"/>
    <w:tmpl w:val="0409001D"/>
    <w:lvl w:ilvl="0">
      <w:start w:val="1"/>
      <w:numFmt w:val="decimal"/>
      <w:lvlText w:val="%1"/>
      <w:lvlJc w:val="left"/>
      <w:pPr>
        <w:ind w:left="1225" w:hanging="425"/>
      </w:pPr>
      <w:rPr>
        <w:rFonts w:hint="default"/>
        <w:sz w:val="20"/>
      </w:rPr>
    </w:lvl>
    <w:lvl w:ilvl="1">
      <w:start w:val="1"/>
      <w:numFmt w:val="decimal"/>
      <w:lvlText w:val="%1.%2"/>
      <w:lvlJc w:val="left"/>
      <w:pPr>
        <w:ind w:left="1792" w:hanging="567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ind w:left="2218" w:hanging="567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ind w:left="2784" w:hanging="708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ind w:left="3351" w:hanging="85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ind w:left="4060" w:hanging="1134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ind w:left="4627" w:hanging="1276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ind w:left="5194" w:hanging="1418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5902" w:hanging="1700"/>
      </w:pPr>
      <w:rPr>
        <w:rFonts w:hint="default"/>
        <w:sz w:val="20"/>
      </w:rPr>
    </w:lvl>
  </w:abstractNum>
  <w:abstractNum w:abstractNumId="1" w15:restartNumberingAfterBreak="0">
    <w:nsid w:val="0E3117BB"/>
    <w:multiLevelType w:val="multilevel"/>
    <w:tmpl w:val="59103908"/>
    <w:lvl w:ilvl="0">
      <w:start w:val="1"/>
      <w:numFmt w:val="decimal"/>
      <w:lvlText w:val="%1."/>
      <w:lvlJc w:val="left"/>
      <w:pPr>
        <w:tabs>
          <w:tab w:val="num" w:pos="1160"/>
        </w:tabs>
        <w:ind w:left="11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80"/>
        </w:tabs>
        <w:ind w:left="18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600"/>
        </w:tabs>
        <w:ind w:left="26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040"/>
        </w:tabs>
        <w:ind w:left="40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760"/>
        </w:tabs>
        <w:ind w:left="47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200"/>
        </w:tabs>
        <w:ind w:left="62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920"/>
        </w:tabs>
        <w:ind w:left="692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413E1B"/>
    <w:multiLevelType w:val="multilevel"/>
    <w:tmpl w:val="B7B8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C43427"/>
    <w:multiLevelType w:val="multilevel"/>
    <w:tmpl w:val="E454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942C38"/>
    <w:multiLevelType w:val="multilevel"/>
    <w:tmpl w:val="59C8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F2E669B"/>
    <w:multiLevelType w:val="multilevel"/>
    <w:tmpl w:val="1DFA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922767"/>
    <w:multiLevelType w:val="multilevel"/>
    <w:tmpl w:val="8CC61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8A4623"/>
    <w:multiLevelType w:val="multilevel"/>
    <w:tmpl w:val="F3965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8F743B"/>
    <w:multiLevelType w:val="multilevel"/>
    <w:tmpl w:val="7534E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A3C432D"/>
    <w:multiLevelType w:val="multilevel"/>
    <w:tmpl w:val="A8B6D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49C62A5"/>
    <w:multiLevelType w:val="multilevel"/>
    <w:tmpl w:val="3AC2A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EE238B"/>
    <w:multiLevelType w:val="multilevel"/>
    <w:tmpl w:val="64FA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0B7798"/>
    <w:multiLevelType w:val="multilevel"/>
    <w:tmpl w:val="8A485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890022"/>
    <w:multiLevelType w:val="hybridMultilevel"/>
    <w:tmpl w:val="7B448608"/>
    <w:lvl w:ilvl="0" w:tplc="A57E7A1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4" w15:restartNumberingAfterBreak="0">
    <w:nsid w:val="4CB61F86"/>
    <w:multiLevelType w:val="multilevel"/>
    <w:tmpl w:val="04545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B37831"/>
    <w:multiLevelType w:val="multilevel"/>
    <w:tmpl w:val="A9444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84598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7" w15:restartNumberingAfterBreak="0">
    <w:nsid w:val="5ADC02F2"/>
    <w:multiLevelType w:val="multilevel"/>
    <w:tmpl w:val="717A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743F82"/>
    <w:multiLevelType w:val="multilevel"/>
    <w:tmpl w:val="2C9A5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224D31"/>
    <w:multiLevelType w:val="multilevel"/>
    <w:tmpl w:val="0F22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B87CA4"/>
    <w:multiLevelType w:val="multilevel"/>
    <w:tmpl w:val="CE461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C26D27"/>
    <w:multiLevelType w:val="multilevel"/>
    <w:tmpl w:val="76368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7C14CD"/>
    <w:multiLevelType w:val="multilevel"/>
    <w:tmpl w:val="8402A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6D595D"/>
    <w:multiLevelType w:val="multilevel"/>
    <w:tmpl w:val="14AEC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43284D"/>
    <w:multiLevelType w:val="multilevel"/>
    <w:tmpl w:val="9DB23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953052"/>
    <w:multiLevelType w:val="multilevel"/>
    <w:tmpl w:val="03AC3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E130FD"/>
    <w:multiLevelType w:val="multilevel"/>
    <w:tmpl w:val="36885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63283E"/>
    <w:multiLevelType w:val="multilevel"/>
    <w:tmpl w:val="20106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5B66FA"/>
    <w:multiLevelType w:val="multilevel"/>
    <w:tmpl w:val="59103908"/>
    <w:lvl w:ilvl="0">
      <w:start w:val="1"/>
      <w:numFmt w:val="decimal"/>
      <w:lvlText w:val="%1."/>
      <w:lvlJc w:val="left"/>
      <w:pPr>
        <w:tabs>
          <w:tab w:val="num" w:pos="1160"/>
        </w:tabs>
        <w:ind w:left="11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80"/>
        </w:tabs>
        <w:ind w:left="18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600"/>
        </w:tabs>
        <w:ind w:left="26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040"/>
        </w:tabs>
        <w:ind w:left="40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760"/>
        </w:tabs>
        <w:ind w:left="47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200"/>
        </w:tabs>
        <w:ind w:left="62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920"/>
        </w:tabs>
        <w:ind w:left="692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2BF49D3"/>
    <w:multiLevelType w:val="multilevel"/>
    <w:tmpl w:val="C3EE0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4643E5"/>
    <w:multiLevelType w:val="multilevel"/>
    <w:tmpl w:val="D6784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5703F2"/>
    <w:multiLevelType w:val="multilevel"/>
    <w:tmpl w:val="12ACB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5A6D77"/>
    <w:multiLevelType w:val="multilevel"/>
    <w:tmpl w:val="8682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9D00E0"/>
    <w:multiLevelType w:val="multilevel"/>
    <w:tmpl w:val="8E68B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9D060C9"/>
    <w:multiLevelType w:val="multilevel"/>
    <w:tmpl w:val="740A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0610337">
    <w:abstractNumId w:val="2"/>
  </w:num>
  <w:num w:numId="2" w16cid:durableId="1706515452">
    <w:abstractNumId w:val="28"/>
  </w:num>
  <w:num w:numId="3" w16cid:durableId="688264577">
    <w:abstractNumId w:val="1"/>
  </w:num>
  <w:num w:numId="4" w16cid:durableId="2014525801">
    <w:abstractNumId w:val="8"/>
  </w:num>
  <w:num w:numId="5" w16cid:durableId="1267301284">
    <w:abstractNumId w:val="9"/>
  </w:num>
  <w:num w:numId="6" w16cid:durableId="2136167781">
    <w:abstractNumId w:val="4"/>
  </w:num>
  <w:num w:numId="7" w16cid:durableId="181238609">
    <w:abstractNumId w:val="12"/>
  </w:num>
  <w:num w:numId="8" w16cid:durableId="1476868689">
    <w:abstractNumId w:val="3"/>
  </w:num>
  <w:num w:numId="9" w16cid:durableId="522092454">
    <w:abstractNumId w:val="34"/>
  </w:num>
  <w:num w:numId="10" w16cid:durableId="1362508479">
    <w:abstractNumId w:val="21"/>
  </w:num>
  <w:num w:numId="11" w16cid:durableId="1820879702">
    <w:abstractNumId w:val="27"/>
  </w:num>
  <w:num w:numId="12" w16cid:durableId="971902162">
    <w:abstractNumId w:val="5"/>
  </w:num>
  <w:num w:numId="13" w16cid:durableId="371271501">
    <w:abstractNumId w:val="30"/>
  </w:num>
  <w:num w:numId="14" w16cid:durableId="1392584163">
    <w:abstractNumId w:val="24"/>
  </w:num>
  <w:num w:numId="15" w16cid:durableId="1523737627">
    <w:abstractNumId w:val="15"/>
  </w:num>
  <w:num w:numId="16" w16cid:durableId="870415731">
    <w:abstractNumId w:val="31"/>
  </w:num>
  <w:num w:numId="17" w16cid:durableId="623772946">
    <w:abstractNumId w:val="18"/>
  </w:num>
  <w:num w:numId="18" w16cid:durableId="1391732715">
    <w:abstractNumId w:val="10"/>
  </w:num>
  <w:num w:numId="19" w16cid:durableId="1197081735">
    <w:abstractNumId w:val="6"/>
  </w:num>
  <w:num w:numId="20" w16cid:durableId="653684025">
    <w:abstractNumId w:val="22"/>
  </w:num>
  <w:num w:numId="21" w16cid:durableId="15498622">
    <w:abstractNumId w:val="32"/>
  </w:num>
  <w:num w:numId="22" w16cid:durableId="1118724497">
    <w:abstractNumId w:val="26"/>
  </w:num>
  <w:num w:numId="23" w16cid:durableId="2008826275">
    <w:abstractNumId w:val="7"/>
  </w:num>
  <w:num w:numId="24" w16cid:durableId="83889558">
    <w:abstractNumId w:val="19"/>
  </w:num>
  <w:num w:numId="25" w16cid:durableId="376592711">
    <w:abstractNumId w:val="25"/>
  </w:num>
  <w:num w:numId="26" w16cid:durableId="1657152039">
    <w:abstractNumId w:val="14"/>
  </w:num>
  <w:num w:numId="27" w16cid:durableId="621156445">
    <w:abstractNumId w:val="20"/>
  </w:num>
  <w:num w:numId="28" w16cid:durableId="1422415133">
    <w:abstractNumId w:val="17"/>
  </w:num>
  <w:num w:numId="29" w16cid:durableId="1097022964">
    <w:abstractNumId w:val="33"/>
  </w:num>
  <w:num w:numId="30" w16cid:durableId="2065909956">
    <w:abstractNumId w:val="23"/>
  </w:num>
  <w:num w:numId="31" w16cid:durableId="1960137694">
    <w:abstractNumId w:val="11"/>
  </w:num>
  <w:num w:numId="32" w16cid:durableId="1003553130">
    <w:abstractNumId w:val="29"/>
  </w:num>
  <w:num w:numId="33" w16cid:durableId="1987398278">
    <w:abstractNumId w:val="0"/>
  </w:num>
  <w:num w:numId="34" w16cid:durableId="1380325752">
    <w:abstractNumId w:val="16"/>
  </w:num>
  <w:num w:numId="35" w16cid:durableId="12037848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79A"/>
    <w:rsid w:val="00102377"/>
    <w:rsid w:val="00127657"/>
    <w:rsid w:val="00281AF2"/>
    <w:rsid w:val="00403B72"/>
    <w:rsid w:val="005F6871"/>
    <w:rsid w:val="006464B1"/>
    <w:rsid w:val="007514D2"/>
    <w:rsid w:val="008A679A"/>
    <w:rsid w:val="009F4BCD"/>
    <w:rsid w:val="00AF18F3"/>
    <w:rsid w:val="00B171C6"/>
    <w:rsid w:val="00B36718"/>
    <w:rsid w:val="00C55C4E"/>
    <w:rsid w:val="00D2439E"/>
    <w:rsid w:val="00DF4E9E"/>
    <w:rsid w:val="00E82868"/>
    <w:rsid w:val="00F8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F54109"/>
  <w15:chartTrackingRefBased/>
  <w15:docId w15:val="{486F95D9-A44B-409B-8CBD-85ADE9119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A679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6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A67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679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679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679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679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679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679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A679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8A679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A679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A679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A67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A6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A679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A67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A6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A679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A679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A679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A6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A679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A679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10237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102377"/>
  </w:style>
  <w:style w:type="paragraph" w:styleId="ab">
    <w:name w:val="footer"/>
    <w:basedOn w:val="a"/>
    <w:link w:val="Char4"/>
    <w:uiPriority w:val="99"/>
    <w:unhideWhenUsed/>
    <w:rsid w:val="00102377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102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2867</Words>
  <Characters>16346</Characters>
  <Application>Microsoft Office Word</Application>
  <DocSecurity>0</DocSecurity>
  <Lines>136</Lines>
  <Paragraphs>38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규현 엄</dc:creator>
  <cp:keywords/>
  <dc:description/>
  <cp:lastModifiedBy>규현 엄</cp:lastModifiedBy>
  <cp:revision>6</cp:revision>
  <dcterms:created xsi:type="dcterms:W3CDTF">2025-10-07T03:47:00Z</dcterms:created>
  <dcterms:modified xsi:type="dcterms:W3CDTF">2025-10-07T08:53:00Z</dcterms:modified>
</cp:coreProperties>
</file>